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68A" w:rsidRPr="000202D9" w:rsidRDefault="00C2768A" w:rsidP="000202D9">
      <w:pPr>
        <w:contextualSpacing/>
        <w:jc w:val="both"/>
        <w:rPr>
          <w:rFonts w:ascii="Arial" w:hAnsi="Arial" w:cs="Arial"/>
          <w:b/>
          <w:bCs/>
          <w:sz w:val="22"/>
          <w:szCs w:val="22"/>
        </w:rPr>
      </w:pPr>
      <w:bookmarkStart w:id="0" w:name="_GoBack"/>
      <w:bookmarkEnd w:id="0"/>
      <w:r w:rsidRPr="000202D9">
        <w:rPr>
          <w:rFonts w:ascii="Arial" w:hAnsi="Arial" w:cs="Arial"/>
          <w:b/>
          <w:bCs/>
          <w:sz w:val="22"/>
          <w:szCs w:val="22"/>
        </w:rPr>
        <w:t>EXECUTIVE SUMMARY</w:t>
      </w:r>
    </w:p>
    <w:p w:rsidR="00C2768A" w:rsidRPr="000202D9" w:rsidRDefault="00C2768A" w:rsidP="000202D9">
      <w:pPr>
        <w:contextualSpacing/>
        <w:jc w:val="both"/>
        <w:rPr>
          <w:rFonts w:ascii="Arial" w:hAnsi="Arial" w:cs="Arial"/>
          <w:bCs/>
          <w:sz w:val="22"/>
          <w:szCs w:val="22"/>
        </w:rPr>
      </w:pPr>
    </w:p>
    <w:p w:rsidR="00C2768A" w:rsidRPr="000202D9" w:rsidRDefault="00C2768A" w:rsidP="000202D9">
      <w:pPr>
        <w:pStyle w:val="ListParagraph"/>
        <w:numPr>
          <w:ilvl w:val="0"/>
          <w:numId w:val="11"/>
        </w:numPr>
        <w:spacing w:after="0" w:line="240" w:lineRule="auto"/>
        <w:ind w:left="450" w:hanging="450"/>
        <w:jc w:val="both"/>
        <w:rPr>
          <w:rFonts w:ascii="Arial" w:hAnsi="Arial" w:cs="Arial"/>
          <w:b/>
          <w:bCs/>
        </w:rPr>
      </w:pPr>
      <w:r w:rsidRPr="000202D9">
        <w:rPr>
          <w:rFonts w:ascii="Arial" w:hAnsi="Arial" w:cs="Arial"/>
          <w:b/>
          <w:bCs/>
        </w:rPr>
        <w:t>Introduction</w:t>
      </w:r>
    </w:p>
    <w:p w:rsidR="003354AE" w:rsidRPr="000202D9" w:rsidRDefault="003354AE" w:rsidP="000202D9">
      <w:pPr>
        <w:pStyle w:val="ListParagraph"/>
        <w:spacing w:after="0" w:line="240" w:lineRule="auto"/>
        <w:ind w:left="450"/>
        <w:jc w:val="both"/>
        <w:rPr>
          <w:rFonts w:ascii="Arial" w:hAnsi="Arial" w:cs="Arial"/>
          <w:b/>
          <w:bCs/>
          <w:i/>
        </w:rPr>
      </w:pPr>
    </w:p>
    <w:p w:rsidR="003354AE" w:rsidRPr="000202D9" w:rsidRDefault="003354AE" w:rsidP="000202D9">
      <w:pPr>
        <w:pStyle w:val="ListParagraph"/>
        <w:spacing w:after="0" w:line="240" w:lineRule="auto"/>
        <w:ind w:left="450"/>
        <w:jc w:val="both"/>
        <w:rPr>
          <w:rFonts w:ascii="Arial" w:hAnsi="Arial" w:cs="Arial"/>
          <w:bCs/>
          <w:i/>
        </w:rPr>
      </w:pPr>
      <w:r w:rsidRPr="000202D9">
        <w:rPr>
          <w:rFonts w:ascii="Arial" w:hAnsi="Arial" w:cs="Arial"/>
          <w:bCs/>
          <w:i/>
        </w:rPr>
        <w:t>National Electrification Administration (NEA)</w:t>
      </w:r>
    </w:p>
    <w:p w:rsidR="003354AE" w:rsidRPr="000202D9" w:rsidRDefault="003354AE" w:rsidP="000202D9">
      <w:pPr>
        <w:pStyle w:val="ListParagraph"/>
        <w:spacing w:after="0" w:line="240" w:lineRule="auto"/>
        <w:ind w:left="810"/>
        <w:jc w:val="both"/>
        <w:rPr>
          <w:rFonts w:ascii="Arial" w:hAnsi="Arial" w:cs="Arial"/>
        </w:rPr>
      </w:pPr>
    </w:p>
    <w:p w:rsidR="00595657" w:rsidRPr="000202D9" w:rsidRDefault="003354AE" w:rsidP="000202D9">
      <w:pPr>
        <w:pStyle w:val="ListParagraph"/>
        <w:numPr>
          <w:ilvl w:val="0"/>
          <w:numId w:val="12"/>
        </w:numPr>
        <w:spacing w:after="0" w:line="240" w:lineRule="auto"/>
        <w:jc w:val="both"/>
        <w:rPr>
          <w:rFonts w:ascii="Arial" w:hAnsi="Arial" w:cs="Arial"/>
        </w:rPr>
      </w:pPr>
      <w:r w:rsidRPr="000202D9">
        <w:rPr>
          <w:rFonts w:ascii="Arial" w:hAnsi="Arial" w:cs="Arial"/>
        </w:rPr>
        <w:t>NEA</w:t>
      </w:r>
      <w:r w:rsidR="00595657" w:rsidRPr="000202D9">
        <w:rPr>
          <w:rFonts w:ascii="Arial" w:hAnsi="Arial" w:cs="Arial"/>
        </w:rPr>
        <w:t xml:space="preserve"> was originally created as a national government agency by virtue of R</w:t>
      </w:r>
      <w:r w:rsidRPr="000202D9">
        <w:rPr>
          <w:rFonts w:ascii="Arial" w:hAnsi="Arial" w:cs="Arial"/>
        </w:rPr>
        <w:t>A</w:t>
      </w:r>
      <w:r w:rsidR="00595657" w:rsidRPr="000202D9">
        <w:rPr>
          <w:rFonts w:ascii="Arial" w:hAnsi="Arial" w:cs="Arial"/>
        </w:rPr>
        <w:t xml:space="preserve"> Nos. 2717 and 6038 dated June 19, 1960 and August 4, 1969, respectively.  On August 6, 1973, P</w:t>
      </w:r>
      <w:r w:rsidRPr="000202D9">
        <w:rPr>
          <w:rFonts w:ascii="Arial" w:hAnsi="Arial" w:cs="Arial"/>
        </w:rPr>
        <w:t>D</w:t>
      </w:r>
      <w:r w:rsidR="00595657" w:rsidRPr="000202D9">
        <w:rPr>
          <w:rFonts w:ascii="Arial" w:hAnsi="Arial" w:cs="Arial"/>
        </w:rPr>
        <w:t xml:space="preserve"> 269 was issued </w:t>
      </w:r>
      <w:r w:rsidR="006C7FA1" w:rsidRPr="000202D9">
        <w:rPr>
          <w:rFonts w:ascii="Arial" w:hAnsi="Arial" w:cs="Arial"/>
        </w:rPr>
        <w:t>converting NEA</w:t>
      </w:r>
      <w:r w:rsidR="00595657" w:rsidRPr="000202D9">
        <w:rPr>
          <w:rFonts w:ascii="Arial" w:hAnsi="Arial" w:cs="Arial"/>
        </w:rPr>
        <w:t xml:space="preserve"> into a government-owned and controlled corporation and declaring a national policy objective for the total electrification of the Philippines on an area coverage basis and the organization, promotion and development of viable rural electric cooperatives (ECs) to attain the said objective.  Moreover, NEA is geared towards the uplifting of the standard of living in the rural areas by the service of electricity.  </w:t>
      </w:r>
    </w:p>
    <w:p w:rsidR="003354AE" w:rsidRPr="000202D9" w:rsidRDefault="003354AE" w:rsidP="000202D9">
      <w:pPr>
        <w:pStyle w:val="ListParagraph"/>
        <w:spacing w:after="0" w:line="240" w:lineRule="auto"/>
        <w:ind w:left="810"/>
        <w:jc w:val="both"/>
        <w:rPr>
          <w:rFonts w:ascii="Arial" w:hAnsi="Arial" w:cs="Arial"/>
        </w:rPr>
      </w:pPr>
    </w:p>
    <w:p w:rsidR="00595657" w:rsidRPr="000202D9" w:rsidRDefault="00595657" w:rsidP="000202D9">
      <w:pPr>
        <w:pStyle w:val="ListParagraph"/>
        <w:numPr>
          <w:ilvl w:val="0"/>
          <w:numId w:val="12"/>
        </w:numPr>
        <w:spacing w:after="0" w:line="240" w:lineRule="auto"/>
        <w:jc w:val="both"/>
        <w:rPr>
          <w:rFonts w:ascii="Arial" w:hAnsi="Arial" w:cs="Arial"/>
        </w:rPr>
      </w:pPr>
      <w:r w:rsidRPr="000202D9">
        <w:rPr>
          <w:rFonts w:ascii="Arial" w:hAnsi="Arial" w:cs="Arial"/>
        </w:rPr>
        <w:t xml:space="preserve">On June 8, 2001, RA 9136, better known as the Electric Power Industry Reform Act (EPIRA) of 2001, was enacted.  Section 58 of the said law gave NEA an additional mandate as follows: </w:t>
      </w:r>
    </w:p>
    <w:p w:rsidR="000202D9" w:rsidRPr="000202D9" w:rsidRDefault="000202D9" w:rsidP="000202D9">
      <w:pPr>
        <w:jc w:val="both"/>
        <w:rPr>
          <w:rFonts w:ascii="Arial" w:hAnsi="Arial" w:cs="Arial"/>
          <w:sz w:val="22"/>
          <w:szCs w:val="22"/>
        </w:rPr>
      </w:pPr>
    </w:p>
    <w:p w:rsidR="00595657" w:rsidRPr="000202D9" w:rsidRDefault="00595657" w:rsidP="000202D9">
      <w:pPr>
        <w:pStyle w:val="BodyTextIndent"/>
        <w:numPr>
          <w:ilvl w:val="0"/>
          <w:numId w:val="13"/>
        </w:numPr>
        <w:ind w:left="1620" w:hanging="450"/>
        <w:contextualSpacing/>
        <w:jc w:val="both"/>
        <w:rPr>
          <w:rFonts w:ascii="Arial" w:hAnsi="Arial" w:cs="Arial"/>
          <w:sz w:val="22"/>
          <w:szCs w:val="22"/>
        </w:rPr>
      </w:pPr>
      <w:r w:rsidRPr="000202D9">
        <w:rPr>
          <w:rFonts w:ascii="Arial" w:hAnsi="Arial" w:cs="Arial"/>
          <w:sz w:val="22"/>
          <w:szCs w:val="22"/>
        </w:rPr>
        <w:t>To prepare the electric cooperatives in operating and competing under the    deregulated electricity market within five (5) years from the effectivity of the act;</w:t>
      </w:r>
    </w:p>
    <w:p w:rsidR="00595657" w:rsidRPr="000202D9" w:rsidRDefault="00595657" w:rsidP="000202D9">
      <w:pPr>
        <w:pStyle w:val="BodyTextIndent"/>
        <w:ind w:left="720"/>
        <w:contextualSpacing/>
        <w:jc w:val="both"/>
        <w:rPr>
          <w:rFonts w:ascii="Arial" w:hAnsi="Arial" w:cs="Arial"/>
          <w:sz w:val="22"/>
          <w:szCs w:val="22"/>
        </w:rPr>
      </w:pPr>
    </w:p>
    <w:p w:rsidR="00595657" w:rsidRPr="000202D9" w:rsidRDefault="00595657" w:rsidP="000202D9">
      <w:pPr>
        <w:pStyle w:val="BodyTextIndent"/>
        <w:numPr>
          <w:ilvl w:val="0"/>
          <w:numId w:val="13"/>
        </w:numPr>
        <w:ind w:left="1620" w:hanging="450"/>
        <w:contextualSpacing/>
        <w:jc w:val="both"/>
        <w:rPr>
          <w:rFonts w:ascii="Arial" w:hAnsi="Arial" w:cs="Arial"/>
          <w:sz w:val="22"/>
          <w:szCs w:val="22"/>
        </w:rPr>
      </w:pPr>
      <w:r w:rsidRPr="000202D9">
        <w:rPr>
          <w:rFonts w:ascii="Arial" w:hAnsi="Arial" w:cs="Arial"/>
          <w:sz w:val="22"/>
          <w:szCs w:val="22"/>
        </w:rPr>
        <w:t>To strengthen the technical capability and financial viability of rural electric cooperatives; and</w:t>
      </w:r>
    </w:p>
    <w:p w:rsidR="00595657" w:rsidRPr="000202D9" w:rsidRDefault="00595657" w:rsidP="000202D9">
      <w:pPr>
        <w:pStyle w:val="BodyTextIndent"/>
        <w:ind w:left="720"/>
        <w:contextualSpacing/>
        <w:jc w:val="both"/>
        <w:rPr>
          <w:rFonts w:ascii="Arial" w:hAnsi="Arial" w:cs="Arial"/>
          <w:sz w:val="22"/>
          <w:szCs w:val="22"/>
        </w:rPr>
      </w:pPr>
    </w:p>
    <w:p w:rsidR="00595657" w:rsidRPr="000202D9" w:rsidRDefault="00595657" w:rsidP="000202D9">
      <w:pPr>
        <w:pStyle w:val="BodyTextIndent"/>
        <w:numPr>
          <w:ilvl w:val="0"/>
          <w:numId w:val="13"/>
        </w:numPr>
        <w:ind w:left="1620" w:hanging="450"/>
        <w:contextualSpacing/>
        <w:jc w:val="both"/>
        <w:rPr>
          <w:rFonts w:ascii="Arial" w:hAnsi="Arial" w:cs="Arial"/>
          <w:sz w:val="22"/>
          <w:szCs w:val="22"/>
        </w:rPr>
      </w:pPr>
      <w:r w:rsidRPr="000202D9">
        <w:rPr>
          <w:rFonts w:ascii="Arial" w:hAnsi="Arial" w:cs="Arial"/>
          <w:sz w:val="22"/>
          <w:szCs w:val="22"/>
        </w:rPr>
        <w:t>To review and upgrade regulatory policies with a view to enhancing the viability of the electric cooperatives as electric utilities.</w:t>
      </w:r>
    </w:p>
    <w:p w:rsidR="00595657" w:rsidRPr="000202D9" w:rsidRDefault="00595657" w:rsidP="000202D9">
      <w:pPr>
        <w:pStyle w:val="BodyTextIndent"/>
        <w:ind w:left="1170"/>
        <w:contextualSpacing/>
        <w:jc w:val="both"/>
        <w:rPr>
          <w:rFonts w:ascii="Arial" w:hAnsi="Arial" w:cs="Arial"/>
          <w:sz w:val="22"/>
          <w:szCs w:val="22"/>
        </w:rPr>
      </w:pPr>
    </w:p>
    <w:p w:rsidR="00595657" w:rsidRPr="000202D9" w:rsidRDefault="00595657" w:rsidP="000202D9">
      <w:pPr>
        <w:pStyle w:val="ListParagraph"/>
        <w:numPr>
          <w:ilvl w:val="0"/>
          <w:numId w:val="12"/>
        </w:numPr>
        <w:spacing w:after="0" w:line="240" w:lineRule="auto"/>
        <w:jc w:val="both"/>
        <w:rPr>
          <w:rFonts w:ascii="Arial" w:hAnsi="Arial" w:cs="Arial"/>
        </w:rPr>
      </w:pPr>
      <w:r w:rsidRPr="000202D9">
        <w:rPr>
          <w:rFonts w:ascii="Arial" w:hAnsi="Arial" w:cs="Arial"/>
        </w:rPr>
        <w:t xml:space="preserve">The EPIRA increased NEA’s authorized capital </w:t>
      </w:r>
      <w:r w:rsidR="001545E7" w:rsidRPr="000202D9">
        <w:rPr>
          <w:rFonts w:ascii="Arial" w:hAnsi="Arial" w:cs="Arial"/>
        </w:rPr>
        <w:t xml:space="preserve">from </w:t>
      </w:r>
      <w:r w:rsidR="00E33268">
        <w:rPr>
          <w:rFonts w:ascii="Arial" w:hAnsi="Arial" w:cs="Arial"/>
        </w:rPr>
        <w:t>₱</w:t>
      </w:r>
      <w:r w:rsidR="001545E7" w:rsidRPr="000202D9">
        <w:rPr>
          <w:rFonts w:ascii="Arial" w:hAnsi="Arial" w:cs="Arial"/>
        </w:rPr>
        <w:t xml:space="preserve">5 billion authorized in 1979 under PD </w:t>
      </w:r>
      <w:r w:rsidR="00CD75E9" w:rsidRPr="000202D9">
        <w:rPr>
          <w:rFonts w:ascii="Arial" w:hAnsi="Arial" w:cs="Arial"/>
        </w:rPr>
        <w:t>1645 to</w:t>
      </w:r>
      <w:r w:rsidRPr="000202D9">
        <w:rPr>
          <w:rFonts w:ascii="Arial" w:hAnsi="Arial" w:cs="Arial"/>
        </w:rPr>
        <w:t xml:space="preserve"> </w:t>
      </w:r>
      <w:r w:rsidR="00E33268">
        <w:rPr>
          <w:rFonts w:ascii="Arial" w:hAnsi="Arial" w:cs="Arial"/>
        </w:rPr>
        <w:t>₱</w:t>
      </w:r>
      <w:r w:rsidRPr="000202D9">
        <w:rPr>
          <w:rFonts w:ascii="Arial" w:hAnsi="Arial" w:cs="Arial"/>
        </w:rPr>
        <w:t>15 billion.  However, as of December 31, 2013, the National Government made no additional subscription.</w:t>
      </w:r>
    </w:p>
    <w:p w:rsidR="001545E7" w:rsidRPr="000202D9" w:rsidRDefault="001545E7" w:rsidP="000202D9">
      <w:pPr>
        <w:pStyle w:val="ListParagraph"/>
        <w:spacing w:after="0" w:line="240" w:lineRule="auto"/>
        <w:ind w:left="810"/>
        <w:jc w:val="both"/>
        <w:rPr>
          <w:rFonts w:ascii="Arial" w:hAnsi="Arial" w:cs="Arial"/>
        </w:rPr>
      </w:pPr>
    </w:p>
    <w:p w:rsidR="00595657" w:rsidRPr="000202D9" w:rsidRDefault="00595657" w:rsidP="000202D9">
      <w:pPr>
        <w:pStyle w:val="ListParagraph"/>
        <w:numPr>
          <w:ilvl w:val="0"/>
          <w:numId w:val="12"/>
        </w:numPr>
        <w:spacing w:after="0" w:line="240" w:lineRule="auto"/>
        <w:jc w:val="both"/>
        <w:rPr>
          <w:rFonts w:ascii="Arial" w:hAnsi="Arial" w:cs="Arial"/>
        </w:rPr>
      </w:pPr>
      <w:r w:rsidRPr="000202D9">
        <w:rPr>
          <w:rFonts w:ascii="Arial" w:hAnsi="Arial" w:cs="Arial"/>
        </w:rPr>
        <w:t>Administrative Order (AO) No. 112 dated December 7</w:t>
      </w:r>
      <w:r w:rsidR="009A165F">
        <w:rPr>
          <w:rFonts w:ascii="Arial" w:hAnsi="Arial" w:cs="Arial"/>
        </w:rPr>
        <w:t xml:space="preserve">, 2004 directed the NEA to take </w:t>
      </w:r>
      <w:r w:rsidRPr="000202D9">
        <w:rPr>
          <w:rFonts w:ascii="Arial" w:hAnsi="Arial" w:cs="Arial"/>
        </w:rPr>
        <w:t>full and sole authority and responsibility in the conversion of electric cooperatives into stock cooperatives.  Pursuant to the AO, the NEA Board of Administrators promulgated the Guidelines in the Conduct of ECs Referendum (GCECR) to convert into either stock cooperative under the Cooperative Development Authority or stock corporation under the Securities and Exchange Commission.</w:t>
      </w:r>
    </w:p>
    <w:p w:rsidR="00595657" w:rsidRPr="000202D9" w:rsidRDefault="00595657" w:rsidP="000202D9">
      <w:pPr>
        <w:contextualSpacing/>
        <w:jc w:val="both"/>
        <w:rPr>
          <w:rFonts w:ascii="Arial" w:hAnsi="Arial" w:cs="Arial"/>
          <w:sz w:val="22"/>
          <w:szCs w:val="22"/>
        </w:rPr>
      </w:pPr>
    </w:p>
    <w:p w:rsidR="00595657" w:rsidRPr="000202D9" w:rsidRDefault="00595657" w:rsidP="000202D9">
      <w:pPr>
        <w:pStyle w:val="ListParagraph"/>
        <w:numPr>
          <w:ilvl w:val="0"/>
          <w:numId w:val="12"/>
        </w:numPr>
        <w:spacing w:after="0" w:line="240" w:lineRule="auto"/>
        <w:jc w:val="both"/>
        <w:rPr>
          <w:rFonts w:ascii="Arial" w:hAnsi="Arial" w:cs="Arial"/>
        </w:rPr>
      </w:pPr>
      <w:r w:rsidRPr="000202D9">
        <w:rPr>
          <w:rFonts w:ascii="Arial" w:hAnsi="Arial" w:cs="Arial"/>
        </w:rPr>
        <w:t>On September 2, 2005, Memorandum Order (MO) No. 187 was issued by the Office of the President setting the guidelines on the conversion of ECs.  In compliance with the MO, the NEA Board of Administrators, in its Resolution No. 116 dated October 5, 2005, approved the amendment to the NEA GCECR.</w:t>
      </w:r>
    </w:p>
    <w:p w:rsidR="00595657" w:rsidRPr="000202D9" w:rsidRDefault="00595657" w:rsidP="000202D9">
      <w:pPr>
        <w:contextualSpacing/>
        <w:jc w:val="both"/>
        <w:rPr>
          <w:rFonts w:ascii="Arial" w:hAnsi="Arial" w:cs="Arial"/>
          <w:sz w:val="22"/>
          <w:szCs w:val="22"/>
        </w:rPr>
      </w:pPr>
    </w:p>
    <w:p w:rsidR="00595657" w:rsidRPr="000202D9" w:rsidRDefault="00595657" w:rsidP="000202D9">
      <w:pPr>
        <w:pStyle w:val="ListParagraph"/>
        <w:numPr>
          <w:ilvl w:val="0"/>
          <w:numId w:val="12"/>
        </w:numPr>
        <w:spacing w:after="0" w:line="240" w:lineRule="auto"/>
        <w:jc w:val="both"/>
        <w:rPr>
          <w:rFonts w:ascii="Arial" w:hAnsi="Arial" w:cs="Arial"/>
        </w:rPr>
      </w:pPr>
      <w:r w:rsidRPr="000202D9">
        <w:rPr>
          <w:rFonts w:ascii="Arial" w:hAnsi="Arial" w:cs="Arial"/>
        </w:rPr>
        <w:t xml:space="preserve">President Benigno S. C. Aquino III, in May 7, 2013 signed into law the National Electrification Administration Reform Act of 2013 (RA 10531), which amended the NEA charter (Presidential Decree No. 269). </w:t>
      </w:r>
      <w:r w:rsidR="003354AE" w:rsidRPr="000202D9">
        <w:rPr>
          <w:rFonts w:ascii="Arial" w:hAnsi="Arial" w:cs="Arial"/>
        </w:rPr>
        <w:t xml:space="preserve"> The</w:t>
      </w:r>
      <w:r w:rsidRPr="000202D9">
        <w:rPr>
          <w:rFonts w:ascii="Arial" w:hAnsi="Arial" w:cs="Arial"/>
        </w:rPr>
        <w:t xml:space="preserve"> law aims to:</w:t>
      </w:r>
    </w:p>
    <w:p w:rsidR="00257AA6" w:rsidRPr="000202D9" w:rsidRDefault="00257AA6" w:rsidP="000202D9">
      <w:pPr>
        <w:pStyle w:val="ListParagraph"/>
        <w:spacing w:after="0" w:line="240" w:lineRule="auto"/>
        <w:rPr>
          <w:rFonts w:ascii="Arial" w:hAnsi="Arial" w:cs="Arial"/>
        </w:rPr>
      </w:pPr>
    </w:p>
    <w:p w:rsidR="00257AA6" w:rsidRPr="000202D9" w:rsidRDefault="00257AA6" w:rsidP="000202D9">
      <w:pPr>
        <w:pStyle w:val="ListParagraph"/>
        <w:spacing w:after="0" w:line="240" w:lineRule="auto"/>
        <w:ind w:left="810"/>
        <w:jc w:val="both"/>
        <w:rPr>
          <w:rFonts w:ascii="Arial" w:hAnsi="Arial" w:cs="Arial"/>
        </w:rPr>
      </w:pPr>
    </w:p>
    <w:p w:rsidR="00595657" w:rsidRPr="000202D9" w:rsidRDefault="00595657" w:rsidP="000202D9">
      <w:pPr>
        <w:pStyle w:val="BodyTextIndent"/>
        <w:numPr>
          <w:ilvl w:val="0"/>
          <w:numId w:val="15"/>
        </w:numPr>
        <w:ind w:left="1710"/>
        <w:contextualSpacing/>
        <w:jc w:val="both"/>
        <w:rPr>
          <w:rFonts w:ascii="Arial" w:hAnsi="Arial" w:cs="Arial"/>
          <w:sz w:val="22"/>
          <w:szCs w:val="22"/>
        </w:rPr>
      </w:pPr>
      <w:r w:rsidRPr="000202D9">
        <w:rPr>
          <w:rFonts w:ascii="Arial" w:hAnsi="Arial" w:cs="Arial"/>
          <w:sz w:val="22"/>
          <w:szCs w:val="22"/>
        </w:rPr>
        <w:lastRenderedPageBreak/>
        <w:t xml:space="preserve">promote sustainable development in rural areas through rural electrification; </w:t>
      </w:r>
    </w:p>
    <w:p w:rsidR="00595657" w:rsidRPr="000202D9" w:rsidRDefault="00595657" w:rsidP="000202D9">
      <w:pPr>
        <w:ind w:left="720"/>
        <w:contextualSpacing/>
        <w:jc w:val="both"/>
        <w:rPr>
          <w:rFonts w:ascii="Arial" w:hAnsi="Arial" w:cs="Arial"/>
          <w:sz w:val="22"/>
          <w:szCs w:val="22"/>
        </w:rPr>
      </w:pPr>
    </w:p>
    <w:p w:rsidR="00595657" w:rsidRPr="000202D9" w:rsidRDefault="00595657" w:rsidP="000202D9">
      <w:pPr>
        <w:pStyle w:val="BodyTextIndent"/>
        <w:numPr>
          <w:ilvl w:val="0"/>
          <w:numId w:val="15"/>
        </w:numPr>
        <w:ind w:left="1710"/>
        <w:contextualSpacing/>
        <w:jc w:val="both"/>
        <w:rPr>
          <w:rFonts w:ascii="Arial" w:hAnsi="Arial" w:cs="Arial"/>
          <w:sz w:val="22"/>
          <w:szCs w:val="22"/>
        </w:rPr>
      </w:pPr>
      <w:r w:rsidRPr="000202D9">
        <w:rPr>
          <w:rFonts w:ascii="Arial" w:hAnsi="Arial" w:cs="Arial"/>
          <w:sz w:val="22"/>
          <w:szCs w:val="22"/>
        </w:rPr>
        <w:t>empower and strengthen NEA to pursue the electrification program, providing electricity though the ECs to the countryside and other economically unviable areas; and</w:t>
      </w:r>
    </w:p>
    <w:p w:rsidR="00595657" w:rsidRPr="000202D9" w:rsidRDefault="00595657" w:rsidP="000202D9">
      <w:pPr>
        <w:ind w:left="720"/>
        <w:contextualSpacing/>
        <w:jc w:val="both"/>
        <w:rPr>
          <w:rFonts w:ascii="Arial" w:hAnsi="Arial" w:cs="Arial"/>
          <w:sz w:val="22"/>
          <w:szCs w:val="22"/>
        </w:rPr>
      </w:pPr>
    </w:p>
    <w:p w:rsidR="00595657" w:rsidRPr="000202D9" w:rsidRDefault="00595657" w:rsidP="000202D9">
      <w:pPr>
        <w:pStyle w:val="BodyTextIndent"/>
        <w:numPr>
          <w:ilvl w:val="0"/>
          <w:numId w:val="15"/>
        </w:numPr>
        <w:ind w:left="1710"/>
        <w:contextualSpacing/>
        <w:jc w:val="both"/>
        <w:rPr>
          <w:rFonts w:ascii="Arial" w:hAnsi="Arial" w:cs="Arial"/>
          <w:sz w:val="22"/>
          <w:szCs w:val="22"/>
        </w:rPr>
      </w:pPr>
      <w:r w:rsidRPr="000202D9">
        <w:rPr>
          <w:rFonts w:ascii="Arial" w:hAnsi="Arial" w:cs="Arial"/>
          <w:sz w:val="22"/>
          <w:szCs w:val="22"/>
        </w:rPr>
        <w:t xml:space="preserve">empower and enable electric cooperatives to cope with the changes brought about by restructuring of the electric power industry pursuant to RA 9136, otherwise known as the “Electric Power Industry Report Act of 2001”  </w:t>
      </w:r>
    </w:p>
    <w:p w:rsidR="00595657" w:rsidRPr="000202D9" w:rsidRDefault="00595657" w:rsidP="000202D9">
      <w:pPr>
        <w:ind w:left="360"/>
        <w:contextualSpacing/>
        <w:jc w:val="both"/>
        <w:rPr>
          <w:rFonts w:ascii="Arial" w:hAnsi="Arial" w:cs="Arial"/>
          <w:sz w:val="22"/>
          <w:szCs w:val="22"/>
        </w:rPr>
      </w:pPr>
    </w:p>
    <w:p w:rsidR="00595657" w:rsidRPr="000202D9" w:rsidRDefault="00595657" w:rsidP="000202D9">
      <w:pPr>
        <w:pStyle w:val="ListParagraph"/>
        <w:numPr>
          <w:ilvl w:val="0"/>
          <w:numId w:val="12"/>
        </w:numPr>
        <w:spacing w:after="0" w:line="240" w:lineRule="auto"/>
        <w:jc w:val="both"/>
        <w:rPr>
          <w:rFonts w:ascii="Arial" w:hAnsi="Arial" w:cs="Arial"/>
        </w:rPr>
      </w:pPr>
      <w:r w:rsidRPr="000202D9">
        <w:rPr>
          <w:rFonts w:ascii="Arial" w:hAnsi="Arial" w:cs="Arial"/>
        </w:rPr>
        <w:t xml:space="preserve">Further, this law had increased NEA’s authorized capital stock to </w:t>
      </w:r>
      <w:r w:rsidR="00E33268">
        <w:rPr>
          <w:rFonts w:ascii="Arial" w:hAnsi="Arial" w:cs="Arial"/>
        </w:rPr>
        <w:t>₱</w:t>
      </w:r>
      <w:r w:rsidRPr="000202D9">
        <w:rPr>
          <w:rFonts w:ascii="Arial" w:hAnsi="Arial" w:cs="Arial"/>
        </w:rPr>
        <w:t>25 billion divided into 250 million shares with a par value of one hundred pesos (</w:t>
      </w:r>
      <w:r w:rsidR="00E33268">
        <w:rPr>
          <w:rFonts w:ascii="Arial" w:hAnsi="Arial" w:cs="Arial"/>
        </w:rPr>
        <w:t>₱</w:t>
      </w:r>
      <w:r w:rsidRPr="000202D9">
        <w:rPr>
          <w:rFonts w:ascii="Arial" w:hAnsi="Arial" w:cs="Arial"/>
        </w:rPr>
        <w:t>100).</w:t>
      </w:r>
    </w:p>
    <w:p w:rsidR="002B2335" w:rsidRPr="000202D9" w:rsidRDefault="002B2335" w:rsidP="000202D9">
      <w:pPr>
        <w:jc w:val="both"/>
        <w:rPr>
          <w:rFonts w:ascii="Arial" w:hAnsi="Arial" w:cs="Arial"/>
          <w:b/>
          <w:sz w:val="22"/>
          <w:szCs w:val="22"/>
        </w:rPr>
      </w:pPr>
    </w:p>
    <w:p w:rsidR="002B2335" w:rsidRPr="000202D9" w:rsidRDefault="002B2335" w:rsidP="000202D9">
      <w:pPr>
        <w:ind w:left="450"/>
        <w:jc w:val="both"/>
        <w:rPr>
          <w:rFonts w:ascii="Arial" w:eastAsia="Arial Unicode MS" w:hAnsi="Arial" w:cs="Arial"/>
          <w:i/>
          <w:sz w:val="22"/>
          <w:szCs w:val="22"/>
        </w:rPr>
      </w:pPr>
      <w:r w:rsidRPr="000202D9">
        <w:rPr>
          <w:rFonts w:ascii="Arial" w:eastAsia="Arial Unicode MS" w:hAnsi="Arial" w:cs="Arial"/>
          <w:i/>
          <w:sz w:val="22"/>
          <w:szCs w:val="22"/>
        </w:rPr>
        <w:t>Scope and Objectives of Audit</w:t>
      </w:r>
    </w:p>
    <w:p w:rsidR="002B2335" w:rsidRPr="000202D9" w:rsidRDefault="002B2335" w:rsidP="000202D9">
      <w:pPr>
        <w:tabs>
          <w:tab w:val="left" w:pos="1260"/>
        </w:tabs>
        <w:jc w:val="both"/>
        <w:rPr>
          <w:rFonts w:ascii="Arial" w:eastAsia="Arial Unicode MS" w:hAnsi="Arial" w:cs="Arial"/>
          <w:sz w:val="22"/>
          <w:szCs w:val="22"/>
        </w:rPr>
      </w:pPr>
    </w:p>
    <w:p w:rsidR="002B2335" w:rsidRPr="000202D9" w:rsidRDefault="002B2335" w:rsidP="000202D9">
      <w:pPr>
        <w:pStyle w:val="ListParagraph"/>
        <w:numPr>
          <w:ilvl w:val="0"/>
          <w:numId w:val="12"/>
        </w:numPr>
        <w:spacing w:after="0" w:line="240" w:lineRule="auto"/>
        <w:jc w:val="both"/>
        <w:rPr>
          <w:rFonts w:ascii="Arial" w:hAnsi="Arial" w:cs="Arial"/>
        </w:rPr>
      </w:pPr>
      <w:r w:rsidRPr="000202D9">
        <w:rPr>
          <w:rFonts w:ascii="Arial" w:hAnsi="Arial" w:cs="Arial"/>
        </w:rPr>
        <w:t>The audit covered the transactions, accounts a</w:t>
      </w:r>
      <w:r w:rsidR="00D302A8">
        <w:rPr>
          <w:rFonts w:ascii="Arial" w:hAnsi="Arial" w:cs="Arial"/>
        </w:rPr>
        <w:t>nd operations of NEA for CY 2014</w:t>
      </w:r>
      <w:r w:rsidRPr="000202D9">
        <w:rPr>
          <w:rFonts w:ascii="Arial" w:hAnsi="Arial" w:cs="Arial"/>
        </w:rPr>
        <w:t xml:space="preserve">.  The audit was conducted to determine the (a) level of assurance that may be placed on the management’s assertions on the financial statements; (b) the propriety of transactions as well compliance with existing rules and regulation as well as management’s policies; and (c) the extent of the implementation of prior </w:t>
      </w:r>
      <w:r w:rsidR="00D302A8">
        <w:rPr>
          <w:rFonts w:ascii="Arial" w:hAnsi="Arial" w:cs="Arial"/>
        </w:rPr>
        <w:t>years’ audit recommendations.</w:t>
      </w:r>
    </w:p>
    <w:p w:rsidR="00CB78A1" w:rsidRDefault="00CB78A1" w:rsidP="000202D9">
      <w:pPr>
        <w:jc w:val="both"/>
        <w:rPr>
          <w:rFonts w:ascii="Arial" w:hAnsi="Arial" w:cs="Arial"/>
          <w:b/>
          <w:sz w:val="22"/>
          <w:szCs w:val="22"/>
        </w:rPr>
      </w:pPr>
    </w:p>
    <w:p w:rsidR="00D302A8" w:rsidRPr="000202D9" w:rsidRDefault="00D302A8" w:rsidP="000202D9">
      <w:pPr>
        <w:jc w:val="both"/>
        <w:rPr>
          <w:rFonts w:ascii="Arial" w:hAnsi="Arial" w:cs="Arial"/>
          <w:b/>
          <w:sz w:val="22"/>
          <w:szCs w:val="22"/>
        </w:rPr>
      </w:pPr>
    </w:p>
    <w:p w:rsidR="00E30FDE" w:rsidRPr="000202D9" w:rsidRDefault="00016478" w:rsidP="000202D9">
      <w:pPr>
        <w:pStyle w:val="ListParagraph"/>
        <w:numPr>
          <w:ilvl w:val="0"/>
          <w:numId w:val="11"/>
        </w:numPr>
        <w:spacing w:after="0" w:line="240" w:lineRule="auto"/>
        <w:ind w:left="450" w:hanging="450"/>
        <w:jc w:val="both"/>
        <w:rPr>
          <w:rFonts w:ascii="Arial" w:hAnsi="Arial" w:cs="Arial"/>
          <w:b/>
          <w:bCs/>
        </w:rPr>
      </w:pPr>
      <w:r w:rsidRPr="000202D9">
        <w:rPr>
          <w:rFonts w:ascii="Arial" w:hAnsi="Arial" w:cs="Arial"/>
          <w:b/>
          <w:bCs/>
        </w:rPr>
        <w:t>Financial Highlights (In Thousand Pesos)</w:t>
      </w:r>
    </w:p>
    <w:p w:rsidR="002B2335" w:rsidRPr="000202D9" w:rsidRDefault="002B2335" w:rsidP="000202D9">
      <w:pPr>
        <w:pStyle w:val="ListParagraph"/>
        <w:spacing w:after="0" w:line="240" w:lineRule="auto"/>
        <w:jc w:val="both"/>
        <w:rPr>
          <w:rFonts w:ascii="Arial" w:hAnsi="Arial" w:cs="Arial"/>
          <w:bCs/>
        </w:rPr>
      </w:pPr>
    </w:p>
    <w:p w:rsidR="00FD0C45" w:rsidRPr="000202D9" w:rsidRDefault="00016478" w:rsidP="000202D9">
      <w:pPr>
        <w:ind w:left="432"/>
        <w:jc w:val="both"/>
        <w:rPr>
          <w:rFonts w:ascii="Arial" w:hAnsi="Arial" w:cs="Arial"/>
          <w:bCs/>
          <w:sz w:val="22"/>
          <w:szCs w:val="22"/>
        </w:rPr>
      </w:pPr>
      <w:r w:rsidRPr="000202D9">
        <w:rPr>
          <w:rFonts w:ascii="Arial" w:hAnsi="Arial" w:cs="Arial"/>
          <w:bCs/>
          <w:sz w:val="22"/>
          <w:szCs w:val="22"/>
        </w:rPr>
        <w:t xml:space="preserve">Shown below are </w:t>
      </w:r>
      <w:r w:rsidR="00CD75E9" w:rsidRPr="000202D9">
        <w:rPr>
          <w:rFonts w:ascii="Arial" w:hAnsi="Arial" w:cs="Arial"/>
          <w:bCs/>
          <w:sz w:val="22"/>
          <w:szCs w:val="22"/>
        </w:rPr>
        <w:t>the financial</w:t>
      </w:r>
      <w:r w:rsidRPr="000202D9">
        <w:rPr>
          <w:rFonts w:ascii="Arial" w:hAnsi="Arial" w:cs="Arial"/>
          <w:bCs/>
          <w:sz w:val="22"/>
          <w:szCs w:val="22"/>
        </w:rPr>
        <w:t xml:space="preserve"> position </w:t>
      </w:r>
      <w:r w:rsidR="000A766C">
        <w:rPr>
          <w:rFonts w:ascii="Arial" w:hAnsi="Arial" w:cs="Arial"/>
          <w:bCs/>
          <w:sz w:val="22"/>
          <w:szCs w:val="22"/>
        </w:rPr>
        <w:t>and financial performance</w:t>
      </w:r>
      <w:r w:rsidR="002B2335" w:rsidRPr="000202D9">
        <w:rPr>
          <w:rFonts w:ascii="Arial" w:hAnsi="Arial" w:cs="Arial"/>
          <w:bCs/>
          <w:sz w:val="22"/>
          <w:szCs w:val="22"/>
        </w:rPr>
        <w:t xml:space="preserve"> including budget utilization </w:t>
      </w:r>
      <w:r w:rsidR="00CB78A1" w:rsidRPr="000202D9">
        <w:rPr>
          <w:rFonts w:ascii="Arial" w:hAnsi="Arial" w:cs="Arial"/>
          <w:bCs/>
          <w:sz w:val="22"/>
          <w:szCs w:val="22"/>
        </w:rPr>
        <w:t>of NEA</w:t>
      </w:r>
      <w:r w:rsidR="000202D9">
        <w:rPr>
          <w:rFonts w:ascii="Arial" w:hAnsi="Arial" w:cs="Arial"/>
          <w:bCs/>
          <w:sz w:val="22"/>
          <w:szCs w:val="22"/>
        </w:rPr>
        <w:t xml:space="preserve"> for CY 2014</w:t>
      </w:r>
      <w:r w:rsidRPr="000202D9">
        <w:rPr>
          <w:rFonts w:ascii="Arial" w:hAnsi="Arial" w:cs="Arial"/>
          <w:bCs/>
          <w:sz w:val="22"/>
          <w:szCs w:val="22"/>
        </w:rPr>
        <w:t>.</w:t>
      </w:r>
    </w:p>
    <w:p w:rsidR="00F72561" w:rsidRPr="000202D9" w:rsidRDefault="00F72561" w:rsidP="000202D9">
      <w:pPr>
        <w:ind w:left="432"/>
        <w:jc w:val="both"/>
        <w:rPr>
          <w:rFonts w:ascii="Arial" w:hAnsi="Arial" w:cs="Arial"/>
          <w:bCs/>
          <w:sz w:val="22"/>
          <w:szCs w:val="22"/>
        </w:rPr>
      </w:pPr>
    </w:p>
    <w:p w:rsidR="00FD0C45" w:rsidRPr="000202D9" w:rsidRDefault="00016478" w:rsidP="000202D9">
      <w:pPr>
        <w:contextualSpacing/>
        <w:jc w:val="center"/>
        <w:rPr>
          <w:rFonts w:ascii="Arial" w:hAnsi="Arial" w:cs="Arial"/>
          <w:bCs/>
          <w:sz w:val="22"/>
          <w:szCs w:val="22"/>
        </w:rPr>
      </w:pPr>
      <w:r w:rsidRPr="000202D9">
        <w:rPr>
          <w:rFonts w:ascii="Arial" w:hAnsi="Arial" w:cs="Arial"/>
          <w:bCs/>
          <w:i/>
          <w:sz w:val="22"/>
          <w:szCs w:val="22"/>
        </w:rPr>
        <w:t xml:space="preserve"> Financial Position</w:t>
      </w:r>
    </w:p>
    <w:tbl>
      <w:tblPr>
        <w:tblW w:w="7920" w:type="dxa"/>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530"/>
        <w:gridCol w:w="1440"/>
        <w:gridCol w:w="1620"/>
      </w:tblGrid>
      <w:tr w:rsidR="00D23C6D" w:rsidRPr="000202D9" w:rsidTr="002B2335">
        <w:trPr>
          <w:trHeight w:val="440"/>
        </w:trPr>
        <w:tc>
          <w:tcPr>
            <w:tcW w:w="3330" w:type="dxa"/>
            <w:tcBorders>
              <w:top w:val="single" w:sz="4" w:space="0" w:color="auto"/>
            </w:tcBorders>
            <w:shd w:val="clear" w:color="auto" w:fill="FDE9D9" w:themeFill="accent6" w:themeFillTint="33"/>
            <w:vAlign w:val="center"/>
          </w:tcPr>
          <w:p w:rsidR="00D23C6D" w:rsidRPr="000202D9" w:rsidRDefault="00016478" w:rsidP="000202D9">
            <w:pPr>
              <w:contextualSpacing/>
              <w:jc w:val="center"/>
              <w:rPr>
                <w:rFonts w:ascii="Arial" w:hAnsi="Arial" w:cs="Arial"/>
                <w:b/>
                <w:bCs/>
                <w:sz w:val="22"/>
                <w:szCs w:val="22"/>
              </w:rPr>
            </w:pPr>
            <w:r w:rsidRPr="000202D9">
              <w:rPr>
                <w:rFonts w:ascii="Arial" w:hAnsi="Arial" w:cs="Arial"/>
                <w:b/>
                <w:bCs/>
                <w:sz w:val="22"/>
                <w:szCs w:val="22"/>
              </w:rPr>
              <w:t>Particulars</w:t>
            </w:r>
          </w:p>
        </w:tc>
        <w:tc>
          <w:tcPr>
            <w:tcW w:w="1530" w:type="dxa"/>
            <w:tcBorders>
              <w:top w:val="single" w:sz="4" w:space="0" w:color="auto"/>
            </w:tcBorders>
            <w:shd w:val="clear" w:color="auto" w:fill="FDE9D9" w:themeFill="accent6" w:themeFillTint="33"/>
            <w:vAlign w:val="center"/>
          </w:tcPr>
          <w:p w:rsidR="00D23C6D" w:rsidRPr="000202D9" w:rsidRDefault="00016478" w:rsidP="000202D9">
            <w:pPr>
              <w:contextualSpacing/>
              <w:jc w:val="center"/>
              <w:rPr>
                <w:rFonts w:ascii="Arial" w:hAnsi="Arial" w:cs="Arial"/>
                <w:b/>
                <w:bCs/>
                <w:sz w:val="22"/>
                <w:szCs w:val="22"/>
              </w:rPr>
            </w:pPr>
            <w:r w:rsidRPr="000202D9">
              <w:rPr>
                <w:rFonts w:ascii="Arial" w:hAnsi="Arial" w:cs="Arial"/>
                <w:b/>
                <w:bCs/>
                <w:sz w:val="22"/>
                <w:szCs w:val="22"/>
              </w:rPr>
              <w:t>201</w:t>
            </w:r>
            <w:r w:rsidR="000202D9">
              <w:rPr>
                <w:rFonts w:ascii="Arial" w:hAnsi="Arial" w:cs="Arial"/>
                <w:b/>
                <w:bCs/>
                <w:sz w:val="22"/>
                <w:szCs w:val="22"/>
              </w:rPr>
              <w:t>4</w:t>
            </w:r>
          </w:p>
        </w:tc>
        <w:tc>
          <w:tcPr>
            <w:tcW w:w="1440" w:type="dxa"/>
            <w:tcBorders>
              <w:top w:val="single" w:sz="4" w:space="0" w:color="auto"/>
            </w:tcBorders>
            <w:shd w:val="clear" w:color="auto" w:fill="FDE9D9" w:themeFill="accent6" w:themeFillTint="33"/>
            <w:vAlign w:val="center"/>
          </w:tcPr>
          <w:p w:rsidR="00D23C6D" w:rsidRPr="000202D9" w:rsidRDefault="00016478" w:rsidP="000202D9">
            <w:pPr>
              <w:contextualSpacing/>
              <w:jc w:val="center"/>
              <w:rPr>
                <w:rFonts w:ascii="Arial" w:hAnsi="Arial" w:cs="Arial"/>
                <w:b/>
                <w:bCs/>
                <w:sz w:val="22"/>
                <w:szCs w:val="22"/>
              </w:rPr>
            </w:pPr>
            <w:r w:rsidRPr="000202D9">
              <w:rPr>
                <w:rFonts w:ascii="Arial" w:hAnsi="Arial" w:cs="Arial"/>
                <w:b/>
                <w:bCs/>
                <w:sz w:val="22"/>
                <w:szCs w:val="22"/>
              </w:rPr>
              <w:t>201</w:t>
            </w:r>
            <w:r w:rsidR="000202D9">
              <w:rPr>
                <w:rFonts w:ascii="Arial" w:hAnsi="Arial" w:cs="Arial"/>
                <w:b/>
                <w:bCs/>
                <w:sz w:val="22"/>
                <w:szCs w:val="22"/>
              </w:rPr>
              <w:t>3</w:t>
            </w:r>
          </w:p>
        </w:tc>
        <w:tc>
          <w:tcPr>
            <w:tcW w:w="1620" w:type="dxa"/>
            <w:tcBorders>
              <w:top w:val="single" w:sz="4" w:space="0" w:color="auto"/>
            </w:tcBorders>
            <w:shd w:val="clear" w:color="auto" w:fill="FDE9D9" w:themeFill="accent6" w:themeFillTint="33"/>
          </w:tcPr>
          <w:p w:rsidR="000E0DB1" w:rsidRPr="000202D9" w:rsidRDefault="00016478" w:rsidP="000202D9">
            <w:pPr>
              <w:contextualSpacing/>
              <w:jc w:val="center"/>
              <w:rPr>
                <w:rFonts w:ascii="Arial" w:hAnsi="Arial" w:cs="Arial"/>
                <w:b/>
                <w:bCs/>
                <w:sz w:val="22"/>
                <w:szCs w:val="22"/>
              </w:rPr>
            </w:pPr>
            <w:r w:rsidRPr="000202D9">
              <w:rPr>
                <w:rFonts w:ascii="Arial" w:hAnsi="Arial" w:cs="Arial"/>
                <w:b/>
                <w:bCs/>
                <w:sz w:val="22"/>
                <w:szCs w:val="22"/>
              </w:rPr>
              <w:t>Increase</w:t>
            </w:r>
          </w:p>
          <w:p w:rsidR="00D23C6D" w:rsidRPr="000202D9" w:rsidRDefault="00016478" w:rsidP="000202D9">
            <w:pPr>
              <w:contextualSpacing/>
              <w:jc w:val="center"/>
              <w:rPr>
                <w:rFonts w:ascii="Arial" w:hAnsi="Arial" w:cs="Arial"/>
                <w:b/>
                <w:bCs/>
                <w:sz w:val="22"/>
                <w:szCs w:val="22"/>
              </w:rPr>
            </w:pPr>
            <w:r w:rsidRPr="000202D9">
              <w:rPr>
                <w:rFonts w:ascii="Arial" w:hAnsi="Arial" w:cs="Arial"/>
                <w:b/>
                <w:bCs/>
                <w:sz w:val="22"/>
                <w:szCs w:val="22"/>
              </w:rPr>
              <w:t>(Decrease)</w:t>
            </w:r>
          </w:p>
        </w:tc>
      </w:tr>
      <w:tr w:rsidR="000202D9" w:rsidRPr="000202D9" w:rsidTr="002B2335">
        <w:tc>
          <w:tcPr>
            <w:tcW w:w="3330" w:type="dxa"/>
          </w:tcPr>
          <w:p w:rsidR="000202D9" w:rsidRPr="000202D9" w:rsidRDefault="000202D9" w:rsidP="000202D9">
            <w:pPr>
              <w:contextualSpacing/>
              <w:jc w:val="both"/>
              <w:rPr>
                <w:rFonts w:ascii="Arial" w:hAnsi="Arial" w:cs="Arial"/>
                <w:bCs/>
                <w:sz w:val="22"/>
                <w:szCs w:val="22"/>
              </w:rPr>
            </w:pPr>
            <w:r w:rsidRPr="000202D9">
              <w:rPr>
                <w:rFonts w:ascii="Arial" w:hAnsi="Arial" w:cs="Arial"/>
                <w:bCs/>
                <w:sz w:val="22"/>
                <w:szCs w:val="22"/>
              </w:rPr>
              <w:t>Assets</w:t>
            </w:r>
          </w:p>
        </w:tc>
        <w:tc>
          <w:tcPr>
            <w:tcW w:w="1530" w:type="dxa"/>
          </w:tcPr>
          <w:p w:rsidR="000202D9" w:rsidRPr="000202D9" w:rsidRDefault="00053559" w:rsidP="000202D9">
            <w:pPr>
              <w:tabs>
                <w:tab w:val="left" w:pos="1512"/>
              </w:tabs>
              <w:ind w:right="45"/>
              <w:contextualSpacing/>
              <w:jc w:val="right"/>
              <w:rPr>
                <w:rFonts w:ascii="Arial" w:hAnsi="Arial" w:cs="Arial"/>
                <w:bCs/>
                <w:sz w:val="22"/>
                <w:szCs w:val="22"/>
              </w:rPr>
            </w:pPr>
            <w:r>
              <w:rPr>
                <w:rFonts w:ascii="Arial" w:hAnsi="Arial" w:cs="Arial"/>
                <w:bCs/>
                <w:sz w:val="22"/>
                <w:szCs w:val="22"/>
              </w:rPr>
              <w:t>36,028</w:t>
            </w:r>
          </w:p>
        </w:tc>
        <w:tc>
          <w:tcPr>
            <w:tcW w:w="1440" w:type="dxa"/>
          </w:tcPr>
          <w:p w:rsidR="000202D9" w:rsidRPr="000202D9" w:rsidRDefault="000202D9" w:rsidP="00DF77F4">
            <w:pPr>
              <w:tabs>
                <w:tab w:val="left" w:pos="1512"/>
              </w:tabs>
              <w:ind w:right="45"/>
              <w:contextualSpacing/>
              <w:jc w:val="right"/>
              <w:rPr>
                <w:rFonts w:ascii="Arial" w:hAnsi="Arial" w:cs="Arial"/>
                <w:bCs/>
                <w:sz w:val="22"/>
                <w:szCs w:val="22"/>
              </w:rPr>
            </w:pPr>
            <w:r w:rsidRPr="000202D9">
              <w:rPr>
                <w:rFonts w:ascii="Arial" w:hAnsi="Arial" w:cs="Arial"/>
                <w:bCs/>
                <w:sz w:val="22"/>
                <w:szCs w:val="22"/>
              </w:rPr>
              <w:t>23,709</w:t>
            </w:r>
          </w:p>
        </w:tc>
        <w:tc>
          <w:tcPr>
            <w:tcW w:w="1620" w:type="dxa"/>
          </w:tcPr>
          <w:p w:rsidR="000202D9" w:rsidRPr="000202D9" w:rsidRDefault="00C77839" w:rsidP="000202D9">
            <w:pPr>
              <w:tabs>
                <w:tab w:val="left" w:pos="1512"/>
              </w:tabs>
              <w:ind w:right="54"/>
              <w:contextualSpacing/>
              <w:jc w:val="right"/>
              <w:rPr>
                <w:rFonts w:ascii="Arial" w:hAnsi="Arial" w:cs="Arial"/>
                <w:bCs/>
                <w:sz w:val="22"/>
                <w:szCs w:val="22"/>
              </w:rPr>
            </w:pPr>
            <w:r>
              <w:rPr>
                <w:rFonts w:ascii="Arial" w:hAnsi="Arial" w:cs="Arial"/>
                <w:bCs/>
                <w:sz w:val="22"/>
                <w:szCs w:val="22"/>
              </w:rPr>
              <w:t>12,319</w:t>
            </w:r>
          </w:p>
        </w:tc>
      </w:tr>
      <w:tr w:rsidR="000202D9" w:rsidRPr="000202D9" w:rsidTr="002B2335">
        <w:tc>
          <w:tcPr>
            <w:tcW w:w="3330" w:type="dxa"/>
          </w:tcPr>
          <w:p w:rsidR="000202D9" w:rsidRPr="000202D9" w:rsidRDefault="000202D9" w:rsidP="000202D9">
            <w:pPr>
              <w:contextualSpacing/>
              <w:jc w:val="both"/>
              <w:rPr>
                <w:rFonts w:ascii="Arial" w:hAnsi="Arial" w:cs="Arial"/>
                <w:bCs/>
                <w:sz w:val="22"/>
                <w:szCs w:val="22"/>
              </w:rPr>
            </w:pPr>
            <w:r w:rsidRPr="000202D9">
              <w:rPr>
                <w:rFonts w:ascii="Arial" w:hAnsi="Arial" w:cs="Arial"/>
                <w:bCs/>
                <w:sz w:val="22"/>
                <w:szCs w:val="22"/>
              </w:rPr>
              <w:t>Liabilities</w:t>
            </w:r>
          </w:p>
        </w:tc>
        <w:tc>
          <w:tcPr>
            <w:tcW w:w="1530" w:type="dxa"/>
          </w:tcPr>
          <w:p w:rsidR="000202D9" w:rsidRPr="000202D9" w:rsidRDefault="00053559" w:rsidP="000202D9">
            <w:pPr>
              <w:tabs>
                <w:tab w:val="left" w:pos="1512"/>
              </w:tabs>
              <w:ind w:right="45"/>
              <w:contextualSpacing/>
              <w:jc w:val="right"/>
              <w:rPr>
                <w:rFonts w:ascii="Arial" w:hAnsi="Arial" w:cs="Arial"/>
                <w:bCs/>
                <w:sz w:val="22"/>
                <w:szCs w:val="22"/>
              </w:rPr>
            </w:pPr>
            <w:r>
              <w:rPr>
                <w:rFonts w:ascii="Arial" w:hAnsi="Arial" w:cs="Arial"/>
                <w:bCs/>
                <w:sz w:val="22"/>
                <w:szCs w:val="22"/>
              </w:rPr>
              <w:t>31,090</w:t>
            </w:r>
          </w:p>
        </w:tc>
        <w:tc>
          <w:tcPr>
            <w:tcW w:w="1440" w:type="dxa"/>
          </w:tcPr>
          <w:p w:rsidR="000202D9" w:rsidRPr="000202D9" w:rsidRDefault="000202D9" w:rsidP="00DF77F4">
            <w:pPr>
              <w:tabs>
                <w:tab w:val="left" w:pos="1512"/>
              </w:tabs>
              <w:ind w:right="45"/>
              <w:contextualSpacing/>
              <w:jc w:val="right"/>
              <w:rPr>
                <w:rFonts w:ascii="Arial" w:hAnsi="Arial" w:cs="Arial"/>
                <w:bCs/>
                <w:sz w:val="22"/>
                <w:szCs w:val="22"/>
              </w:rPr>
            </w:pPr>
            <w:r w:rsidRPr="000202D9">
              <w:rPr>
                <w:rFonts w:ascii="Arial" w:hAnsi="Arial" w:cs="Arial"/>
                <w:bCs/>
                <w:sz w:val="22"/>
                <w:szCs w:val="22"/>
              </w:rPr>
              <w:t>22,561</w:t>
            </w:r>
          </w:p>
        </w:tc>
        <w:tc>
          <w:tcPr>
            <w:tcW w:w="1620" w:type="dxa"/>
          </w:tcPr>
          <w:p w:rsidR="000202D9" w:rsidRPr="000202D9" w:rsidRDefault="00C77839" w:rsidP="000202D9">
            <w:pPr>
              <w:tabs>
                <w:tab w:val="left" w:pos="1512"/>
              </w:tabs>
              <w:ind w:right="54"/>
              <w:contextualSpacing/>
              <w:jc w:val="right"/>
              <w:rPr>
                <w:rFonts w:ascii="Arial" w:hAnsi="Arial" w:cs="Arial"/>
                <w:bCs/>
                <w:sz w:val="22"/>
                <w:szCs w:val="22"/>
              </w:rPr>
            </w:pPr>
            <w:r>
              <w:rPr>
                <w:rFonts w:ascii="Arial" w:hAnsi="Arial" w:cs="Arial"/>
                <w:bCs/>
                <w:sz w:val="22"/>
                <w:szCs w:val="22"/>
              </w:rPr>
              <w:t>8,529</w:t>
            </w:r>
          </w:p>
        </w:tc>
      </w:tr>
      <w:tr w:rsidR="000202D9" w:rsidRPr="000202D9" w:rsidTr="002B2335">
        <w:tc>
          <w:tcPr>
            <w:tcW w:w="3330" w:type="dxa"/>
          </w:tcPr>
          <w:p w:rsidR="000202D9" w:rsidRPr="000202D9" w:rsidRDefault="000202D9" w:rsidP="000202D9">
            <w:pPr>
              <w:contextualSpacing/>
              <w:jc w:val="both"/>
              <w:rPr>
                <w:rFonts w:ascii="Arial" w:hAnsi="Arial" w:cs="Arial"/>
                <w:bCs/>
                <w:sz w:val="22"/>
                <w:szCs w:val="22"/>
              </w:rPr>
            </w:pPr>
            <w:r w:rsidRPr="000202D9">
              <w:rPr>
                <w:rFonts w:ascii="Arial" w:hAnsi="Arial" w:cs="Arial"/>
                <w:bCs/>
                <w:sz w:val="22"/>
                <w:szCs w:val="22"/>
              </w:rPr>
              <w:t>Equity</w:t>
            </w:r>
          </w:p>
        </w:tc>
        <w:tc>
          <w:tcPr>
            <w:tcW w:w="1530" w:type="dxa"/>
          </w:tcPr>
          <w:p w:rsidR="000202D9" w:rsidRPr="000202D9" w:rsidRDefault="00053559" w:rsidP="000202D9">
            <w:pPr>
              <w:tabs>
                <w:tab w:val="left" w:pos="1512"/>
              </w:tabs>
              <w:ind w:right="45"/>
              <w:contextualSpacing/>
              <w:jc w:val="right"/>
              <w:rPr>
                <w:rFonts w:ascii="Arial" w:hAnsi="Arial" w:cs="Arial"/>
                <w:bCs/>
                <w:sz w:val="22"/>
                <w:szCs w:val="22"/>
              </w:rPr>
            </w:pPr>
            <w:r>
              <w:rPr>
                <w:rFonts w:ascii="Arial" w:hAnsi="Arial" w:cs="Arial"/>
                <w:bCs/>
                <w:sz w:val="22"/>
                <w:szCs w:val="22"/>
              </w:rPr>
              <w:t>4,938</w:t>
            </w:r>
          </w:p>
        </w:tc>
        <w:tc>
          <w:tcPr>
            <w:tcW w:w="1440" w:type="dxa"/>
          </w:tcPr>
          <w:p w:rsidR="000202D9" w:rsidRPr="000202D9" w:rsidRDefault="000202D9" w:rsidP="00DF77F4">
            <w:pPr>
              <w:tabs>
                <w:tab w:val="left" w:pos="1512"/>
              </w:tabs>
              <w:ind w:right="45"/>
              <w:contextualSpacing/>
              <w:jc w:val="right"/>
              <w:rPr>
                <w:rFonts w:ascii="Arial" w:hAnsi="Arial" w:cs="Arial"/>
                <w:bCs/>
                <w:sz w:val="22"/>
                <w:szCs w:val="22"/>
              </w:rPr>
            </w:pPr>
            <w:r w:rsidRPr="000202D9">
              <w:rPr>
                <w:rFonts w:ascii="Arial" w:hAnsi="Arial" w:cs="Arial"/>
                <w:bCs/>
                <w:sz w:val="22"/>
                <w:szCs w:val="22"/>
              </w:rPr>
              <w:t>1,148</w:t>
            </w:r>
          </w:p>
        </w:tc>
        <w:tc>
          <w:tcPr>
            <w:tcW w:w="1620" w:type="dxa"/>
          </w:tcPr>
          <w:p w:rsidR="000202D9" w:rsidRPr="000202D9" w:rsidRDefault="00C77839" w:rsidP="000202D9">
            <w:pPr>
              <w:tabs>
                <w:tab w:val="left" w:pos="1512"/>
              </w:tabs>
              <w:ind w:right="54"/>
              <w:contextualSpacing/>
              <w:jc w:val="right"/>
              <w:rPr>
                <w:rFonts w:ascii="Arial" w:hAnsi="Arial" w:cs="Arial"/>
                <w:bCs/>
                <w:sz w:val="22"/>
                <w:szCs w:val="22"/>
              </w:rPr>
            </w:pPr>
            <w:r>
              <w:rPr>
                <w:rFonts w:ascii="Arial" w:hAnsi="Arial" w:cs="Arial"/>
                <w:bCs/>
                <w:sz w:val="22"/>
                <w:szCs w:val="22"/>
              </w:rPr>
              <w:t>3,790</w:t>
            </w:r>
          </w:p>
        </w:tc>
      </w:tr>
    </w:tbl>
    <w:p w:rsidR="000A71EE" w:rsidRPr="000202D9" w:rsidRDefault="000A71EE" w:rsidP="000202D9">
      <w:pPr>
        <w:contextualSpacing/>
        <w:jc w:val="both"/>
        <w:rPr>
          <w:rFonts w:ascii="Arial" w:hAnsi="Arial" w:cs="Arial"/>
          <w:b/>
          <w:bCs/>
          <w:sz w:val="22"/>
          <w:szCs w:val="22"/>
        </w:rPr>
      </w:pPr>
    </w:p>
    <w:p w:rsidR="00F72561" w:rsidRPr="000202D9" w:rsidRDefault="00F72561" w:rsidP="000202D9">
      <w:pPr>
        <w:contextualSpacing/>
        <w:jc w:val="both"/>
        <w:rPr>
          <w:rFonts w:ascii="Arial" w:hAnsi="Arial" w:cs="Arial"/>
          <w:b/>
          <w:bCs/>
          <w:sz w:val="22"/>
          <w:szCs w:val="22"/>
        </w:rPr>
      </w:pPr>
    </w:p>
    <w:p w:rsidR="00BE64A3" w:rsidRPr="000202D9" w:rsidRDefault="00016478" w:rsidP="008648D3">
      <w:pPr>
        <w:contextualSpacing/>
        <w:jc w:val="center"/>
        <w:rPr>
          <w:rFonts w:ascii="Arial" w:hAnsi="Arial" w:cs="Arial"/>
          <w:bCs/>
          <w:i/>
          <w:sz w:val="22"/>
          <w:szCs w:val="22"/>
        </w:rPr>
      </w:pPr>
      <w:r w:rsidRPr="000202D9">
        <w:rPr>
          <w:rFonts w:ascii="Arial" w:hAnsi="Arial" w:cs="Arial"/>
          <w:bCs/>
          <w:i/>
          <w:sz w:val="22"/>
          <w:szCs w:val="22"/>
        </w:rPr>
        <w:t>Financial Performance</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530"/>
        <w:gridCol w:w="1440"/>
        <w:gridCol w:w="1620"/>
      </w:tblGrid>
      <w:tr w:rsidR="00DD004A" w:rsidRPr="000202D9" w:rsidTr="002B2335">
        <w:tc>
          <w:tcPr>
            <w:tcW w:w="3330" w:type="dxa"/>
            <w:tcBorders>
              <w:top w:val="single" w:sz="4" w:space="0" w:color="auto"/>
            </w:tcBorders>
            <w:shd w:val="clear" w:color="auto" w:fill="FDE9D9" w:themeFill="accent6" w:themeFillTint="33"/>
            <w:vAlign w:val="center"/>
          </w:tcPr>
          <w:p w:rsidR="00E4722C" w:rsidRPr="000202D9" w:rsidRDefault="00016478" w:rsidP="000202D9">
            <w:pPr>
              <w:contextualSpacing/>
              <w:jc w:val="center"/>
              <w:rPr>
                <w:rFonts w:ascii="Arial" w:hAnsi="Arial" w:cs="Arial"/>
                <w:b/>
                <w:bCs/>
                <w:sz w:val="22"/>
                <w:szCs w:val="22"/>
              </w:rPr>
            </w:pPr>
            <w:r w:rsidRPr="000202D9">
              <w:rPr>
                <w:rFonts w:ascii="Arial" w:hAnsi="Arial" w:cs="Arial"/>
                <w:b/>
                <w:bCs/>
                <w:sz w:val="22"/>
                <w:szCs w:val="22"/>
              </w:rPr>
              <w:t>Particulars</w:t>
            </w:r>
          </w:p>
        </w:tc>
        <w:tc>
          <w:tcPr>
            <w:tcW w:w="1530" w:type="dxa"/>
            <w:tcBorders>
              <w:top w:val="single" w:sz="4" w:space="0" w:color="auto"/>
            </w:tcBorders>
            <w:shd w:val="clear" w:color="auto" w:fill="FDE9D9" w:themeFill="accent6" w:themeFillTint="33"/>
            <w:vAlign w:val="center"/>
          </w:tcPr>
          <w:p w:rsidR="00E4722C" w:rsidRPr="000202D9" w:rsidRDefault="00016478" w:rsidP="000202D9">
            <w:pPr>
              <w:contextualSpacing/>
              <w:jc w:val="center"/>
              <w:rPr>
                <w:rFonts w:ascii="Arial" w:hAnsi="Arial" w:cs="Arial"/>
                <w:b/>
                <w:bCs/>
                <w:sz w:val="22"/>
                <w:szCs w:val="22"/>
              </w:rPr>
            </w:pPr>
            <w:r w:rsidRPr="000202D9">
              <w:rPr>
                <w:rFonts w:ascii="Arial" w:hAnsi="Arial" w:cs="Arial"/>
                <w:b/>
                <w:bCs/>
                <w:sz w:val="22"/>
                <w:szCs w:val="22"/>
              </w:rPr>
              <w:t>201</w:t>
            </w:r>
            <w:r w:rsidR="00053559">
              <w:rPr>
                <w:rFonts w:ascii="Arial" w:hAnsi="Arial" w:cs="Arial"/>
                <w:b/>
                <w:bCs/>
                <w:sz w:val="22"/>
                <w:szCs w:val="22"/>
              </w:rPr>
              <w:t>4</w:t>
            </w:r>
          </w:p>
        </w:tc>
        <w:tc>
          <w:tcPr>
            <w:tcW w:w="1440" w:type="dxa"/>
            <w:tcBorders>
              <w:top w:val="single" w:sz="4" w:space="0" w:color="auto"/>
            </w:tcBorders>
            <w:shd w:val="clear" w:color="auto" w:fill="FDE9D9" w:themeFill="accent6" w:themeFillTint="33"/>
            <w:vAlign w:val="center"/>
          </w:tcPr>
          <w:p w:rsidR="00E4722C" w:rsidRPr="000202D9" w:rsidRDefault="00016478" w:rsidP="000202D9">
            <w:pPr>
              <w:contextualSpacing/>
              <w:jc w:val="center"/>
              <w:rPr>
                <w:rFonts w:ascii="Arial" w:hAnsi="Arial" w:cs="Arial"/>
                <w:b/>
                <w:bCs/>
                <w:sz w:val="22"/>
                <w:szCs w:val="22"/>
              </w:rPr>
            </w:pPr>
            <w:r w:rsidRPr="000202D9">
              <w:rPr>
                <w:rFonts w:ascii="Arial" w:hAnsi="Arial" w:cs="Arial"/>
                <w:b/>
                <w:bCs/>
                <w:sz w:val="22"/>
                <w:szCs w:val="22"/>
              </w:rPr>
              <w:t>201</w:t>
            </w:r>
            <w:r w:rsidR="00053559">
              <w:rPr>
                <w:rFonts w:ascii="Arial" w:hAnsi="Arial" w:cs="Arial"/>
                <w:b/>
                <w:bCs/>
                <w:sz w:val="22"/>
                <w:szCs w:val="22"/>
              </w:rPr>
              <w:t>3</w:t>
            </w:r>
          </w:p>
        </w:tc>
        <w:tc>
          <w:tcPr>
            <w:tcW w:w="1620" w:type="dxa"/>
            <w:tcBorders>
              <w:top w:val="single" w:sz="4" w:space="0" w:color="auto"/>
            </w:tcBorders>
            <w:shd w:val="clear" w:color="auto" w:fill="FDE9D9" w:themeFill="accent6" w:themeFillTint="33"/>
          </w:tcPr>
          <w:p w:rsidR="00E4722C" w:rsidRPr="000202D9" w:rsidRDefault="00016478" w:rsidP="000202D9">
            <w:pPr>
              <w:contextualSpacing/>
              <w:jc w:val="center"/>
              <w:rPr>
                <w:rFonts w:ascii="Arial" w:hAnsi="Arial" w:cs="Arial"/>
                <w:b/>
                <w:bCs/>
                <w:sz w:val="22"/>
                <w:szCs w:val="22"/>
              </w:rPr>
            </w:pPr>
            <w:r w:rsidRPr="000202D9">
              <w:rPr>
                <w:rFonts w:ascii="Arial" w:hAnsi="Arial" w:cs="Arial"/>
                <w:b/>
                <w:bCs/>
                <w:sz w:val="22"/>
                <w:szCs w:val="22"/>
              </w:rPr>
              <w:t>Increase</w:t>
            </w:r>
          </w:p>
          <w:p w:rsidR="00E4722C" w:rsidRPr="000202D9" w:rsidRDefault="00016478" w:rsidP="000202D9">
            <w:pPr>
              <w:contextualSpacing/>
              <w:jc w:val="center"/>
              <w:rPr>
                <w:rFonts w:ascii="Arial" w:hAnsi="Arial" w:cs="Arial"/>
                <w:b/>
                <w:bCs/>
                <w:sz w:val="22"/>
                <w:szCs w:val="22"/>
              </w:rPr>
            </w:pPr>
            <w:r w:rsidRPr="000202D9">
              <w:rPr>
                <w:rFonts w:ascii="Arial" w:hAnsi="Arial" w:cs="Arial"/>
                <w:b/>
                <w:bCs/>
                <w:sz w:val="22"/>
                <w:szCs w:val="22"/>
              </w:rPr>
              <w:t>(Decrease)</w:t>
            </w:r>
          </w:p>
        </w:tc>
      </w:tr>
      <w:tr w:rsidR="00053559" w:rsidRPr="000202D9" w:rsidTr="002B2335">
        <w:tc>
          <w:tcPr>
            <w:tcW w:w="3330" w:type="dxa"/>
          </w:tcPr>
          <w:p w:rsidR="00053559" w:rsidRPr="000202D9" w:rsidRDefault="00053559" w:rsidP="000202D9">
            <w:pPr>
              <w:jc w:val="both"/>
              <w:rPr>
                <w:rFonts w:ascii="Arial" w:hAnsi="Arial" w:cs="Arial"/>
                <w:bCs/>
                <w:sz w:val="22"/>
                <w:szCs w:val="22"/>
              </w:rPr>
            </w:pPr>
            <w:r w:rsidRPr="000202D9">
              <w:rPr>
                <w:rFonts w:ascii="Arial" w:hAnsi="Arial" w:cs="Arial"/>
                <w:bCs/>
                <w:sz w:val="22"/>
                <w:szCs w:val="22"/>
              </w:rPr>
              <w:t>Gross income</w:t>
            </w:r>
          </w:p>
        </w:tc>
        <w:tc>
          <w:tcPr>
            <w:tcW w:w="1530" w:type="dxa"/>
          </w:tcPr>
          <w:p w:rsidR="00053559" w:rsidRPr="000202D9" w:rsidRDefault="00121439" w:rsidP="000202D9">
            <w:pPr>
              <w:ind w:right="54"/>
              <w:jc w:val="right"/>
              <w:rPr>
                <w:rFonts w:ascii="Arial" w:hAnsi="Arial" w:cs="Arial"/>
                <w:bCs/>
                <w:sz w:val="22"/>
                <w:szCs w:val="22"/>
              </w:rPr>
            </w:pPr>
            <w:r>
              <w:rPr>
                <w:rFonts w:ascii="Arial" w:hAnsi="Arial" w:cs="Arial"/>
                <w:bCs/>
                <w:sz w:val="22"/>
                <w:szCs w:val="22"/>
              </w:rPr>
              <w:t>932</w:t>
            </w:r>
          </w:p>
        </w:tc>
        <w:tc>
          <w:tcPr>
            <w:tcW w:w="1440" w:type="dxa"/>
          </w:tcPr>
          <w:p w:rsidR="00053559" w:rsidRPr="000202D9" w:rsidRDefault="00053559" w:rsidP="00DF77F4">
            <w:pPr>
              <w:ind w:right="54"/>
              <w:jc w:val="right"/>
              <w:rPr>
                <w:rFonts w:ascii="Arial" w:hAnsi="Arial" w:cs="Arial"/>
                <w:bCs/>
                <w:sz w:val="22"/>
                <w:szCs w:val="22"/>
              </w:rPr>
            </w:pPr>
            <w:r w:rsidRPr="000202D9">
              <w:rPr>
                <w:rFonts w:ascii="Arial" w:hAnsi="Arial" w:cs="Arial"/>
                <w:bCs/>
                <w:sz w:val="22"/>
                <w:szCs w:val="22"/>
              </w:rPr>
              <w:t>725</w:t>
            </w:r>
          </w:p>
        </w:tc>
        <w:tc>
          <w:tcPr>
            <w:tcW w:w="1620" w:type="dxa"/>
          </w:tcPr>
          <w:p w:rsidR="00053559" w:rsidRPr="000202D9" w:rsidRDefault="002626D4" w:rsidP="000202D9">
            <w:pPr>
              <w:ind w:right="54"/>
              <w:jc w:val="right"/>
              <w:rPr>
                <w:rFonts w:ascii="Arial" w:hAnsi="Arial" w:cs="Arial"/>
                <w:bCs/>
                <w:sz w:val="22"/>
                <w:szCs w:val="22"/>
              </w:rPr>
            </w:pPr>
            <w:r>
              <w:rPr>
                <w:rFonts w:ascii="Arial" w:hAnsi="Arial" w:cs="Arial"/>
                <w:bCs/>
                <w:sz w:val="22"/>
                <w:szCs w:val="22"/>
              </w:rPr>
              <w:t>207</w:t>
            </w:r>
          </w:p>
        </w:tc>
      </w:tr>
      <w:tr w:rsidR="00053559" w:rsidRPr="000202D9" w:rsidTr="002B2335">
        <w:tc>
          <w:tcPr>
            <w:tcW w:w="3330" w:type="dxa"/>
          </w:tcPr>
          <w:p w:rsidR="00053559" w:rsidRPr="000202D9" w:rsidRDefault="00053559" w:rsidP="000202D9">
            <w:pPr>
              <w:jc w:val="both"/>
              <w:rPr>
                <w:rFonts w:ascii="Arial" w:hAnsi="Arial" w:cs="Arial"/>
                <w:bCs/>
                <w:sz w:val="22"/>
                <w:szCs w:val="22"/>
              </w:rPr>
            </w:pPr>
            <w:r w:rsidRPr="000202D9">
              <w:rPr>
                <w:rFonts w:ascii="Arial" w:hAnsi="Arial" w:cs="Arial"/>
                <w:bCs/>
                <w:sz w:val="22"/>
                <w:szCs w:val="22"/>
              </w:rPr>
              <w:t>Other income</w:t>
            </w:r>
          </w:p>
        </w:tc>
        <w:tc>
          <w:tcPr>
            <w:tcW w:w="1530" w:type="dxa"/>
          </w:tcPr>
          <w:p w:rsidR="00053559" w:rsidRPr="000202D9" w:rsidRDefault="00121439" w:rsidP="000202D9">
            <w:pPr>
              <w:ind w:right="54"/>
              <w:jc w:val="right"/>
              <w:rPr>
                <w:rFonts w:ascii="Arial" w:hAnsi="Arial" w:cs="Arial"/>
                <w:bCs/>
                <w:sz w:val="22"/>
                <w:szCs w:val="22"/>
              </w:rPr>
            </w:pPr>
            <w:r>
              <w:rPr>
                <w:rFonts w:ascii="Arial" w:hAnsi="Arial" w:cs="Arial"/>
                <w:bCs/>
                <w:sz w:val="22"/>
                <w:szCs w:val="22"/>
              </w:rPr>
              <w:t>50</w:t>
            </w:r>
          </w:p>
        </w:tc>
        <w:tc>
          <w:tcPr>
            <w:tcW w:w="1440" w:type="dxa"/>
          </w:tcPr>
          <w:p w:rsidR="00053559" w:rsidRPr="000202D9" w:rsidRDefault="00053559" w:rsidP="00DF77F4">
            <w:pPr>
              <w:ind w:right="54"/>
              <w:jc w:val="right"/>
              <w:rPr>
                <w:rFonts w:ascii="Arial" w:hAnsi="Arial" w:cs="Arial"/>
                <w:bCs/>
                <w:sz w:val="22"/>
                <w:szCs w:val="22"/>
              </w:rPr>
            </w:pPr>
            <w:r w:rsidRPr="000202D9">
              <w:rPr>
                <w:rFonts w:ascii="Arial" w:hAnsi="Arial" w:cs="Arial"/>
                <w:bCs/>
                <w:sz w:val="22"/>
                <w:szCs w:val="22"/>
              </w:rPr>
              <w:t>128</w:t>
            </w:r>
          </w:p>
        </w:tc>
        <w:tc>
          <w:tcPr>
            <w:tcW w:w="1620" w:type="dxa"/>
          </w:tcPr>
          <w:p w:rsidR="00053559" w:rsidRPr="000202D9" w:rsidRDefault="00C77839" w:rsidP="000202D9">
            <w:pPr>
              <w:ind w:right="54"/>
              <w:jc w:val="right"/>
              <w:rPr>
                <w:rFonts w:ascii="Arial" w:hAnsi="Arial" w:cs="Arial"/>
                <w:bCs/>
                <w:sz w:val="22"/>
                <w:szCs w:val="22"/>
              </w:rPr>
            </w:pPr>
            <w:r>
              <w:rPr>
                <w:rFonts w:ascii="Arial" w:hAnsi="Arial" w:cs="Arial"/>
                <w:bCs/>
                <w:sz w:val="22"/>
                <w:szCs w:val="22"/>
              </w:rPr>
              <w:t>(</w:t>
            </w:r>
            <w:r w:rsidR="002626D4">
              <w:rPr>
                <w:rFonts w:ascii="Arial" w:hAnsi="Arial" w:cs="Arial"/>
                <w:bCs/>
                <w:sz w:val="22"/>
                <w:szCs w:val="22"/>
              </w:rPr>
              <w:t>78</w:t>
            </w:r>
            <w:r>
              <w:rPr>
                <w:rFonts w:ascii="Arial" w:hAnsi="Arial" w:cs="Arial"/>
                <w:bCs/>
                <w:sz w:val="22"/>
                <w:szCs w:val="22"/>
              </w:rPr>
              <w:t>)</w:t>
            </w:r>
          </w:p>
        </w:tc>
      </w:tr>
      <w:tr w:rsidR="00053559" w:rsidRPr="000202D9" w:rsidTr="002B2335">
        <w:tc>
          <w:tcPr>
            <w:tcW w:w="3330" w:type="dxa"/>
          </w:tcPr>
          <w:p w:rsidR="00053559" w:rsidRPr="000202D9" w:rsidRDefault="00053559" w:rsidP="000202D9">
            <w:pPr>
              <w:jc w:val="both"/>
              <w:rPr>
                <w:rFonts w:ascii="Arial" w:hAnsi="Arial" w:cs="Arial"/>
                <w:bCs/>
                <w:sz w:val="22"/>
                <w:szCs w:val="22"/>
              </w:rPr>
            </w:pPr>
            <w:r w:rsidRPr="000202D9">
              <w:rPr>
                <w:rFonts w:ascii="Arial" w:hAnsi="Arial" w:cs="Arial"/>
                <w:bCs/>
                <w:sz w:val="22"/>
                <w:szCs w:val="22"/>
              </w:rPr>
              <w:t xml:space="preserve">    Total income</w:t>
            </w:r>
          </w:p>
        </w:tc>
        <w:tc>
          <w:tcPr>
            <w:tcW w:w="1530" w:type="dxa"/>
          </w:tcPr>
          <w:p w:rsidR="00053559" w:rsidRPr="000202D9" w:rsidRDefault="00121439" w:rsidP="000202D9">
            <w:pPr>
              <w:ind w:right="54"/>
              <w:jc w:val="right"/>
              <w:rPr>
                <w:rFonts w:ascii="Arial" w:hAnsi="Arial" w:cs="Arial"/>
                <w:bCs/>
                <w:sz w:val="22"/>
                <w:szCs w:val="22"/>
              </w:rPr>
            </w:pPr>
            <w:r>
              <w:rPr>
                <w:rFonts w:ascii="Arial" w:hAnsi="Arial" w:cs="Arial"/>
                <w:bCs/>
                <w:sz w:val="22"/>
                <w:szCs w:val="22"/>
              </w:rPr>
              <w:t>982</w:t>
            </w:r>
          </w:p>
        </w:tc>
        <w:tc>
          <w:tcPr>
            <w:tcW w:w="1440" w:type="dxa"/>
          </w:tcPr>
          <w:p w:rsidR="00053559" w:rsidRPr="000202D9" w:rsidRDefault="00053559" w:rsidP="00DF77F4">
            <w:pPr>
              <w:ind w:right="54"/>
              <w:jc w:val="right"/>
              <w:rPr>
                <w:rFonts w:ascii="Arial" w:hAnsi="Arial" w:cs="Arial"/>
                <w:bCs/>
                <w:sz w:val="22"/>
                <w:szCs w:val="22"/>
              </w:rPr>
            </w:pPr>
            <w:r w:rsidRPr="000202D9">
              <w:rPr>
                <w:rFonts w:ascii="Arial" w:hAnsi="Arial" w:cs="Arial"/>
                <w:bCs/>
                <w:sz w:val="22"/>
                <w:szCs w:val="22"/>
              </w:rPr>
              <w:t>853</w:t>
            </w:r>
          </w:p>
        </w:tc>
        <w:tc>
          <w:tcPr>
            <w:tcW w:w="1620" w:type="dxa"/>
          </w:tcPr>
          <w:p w:rsidR="00053559" w:rsidRPr="000202D9" w:rsidRDefault="002626D4" w:rsidP="000202D9">
            <w:pPr>
              <w:ind w:right="54"/>
              <w:jc w:val="right"/>
              <w:rPr>
                <w:rFonts w:ascii="Arial" w:hAnsi="Arial" w:cs="Arial"/>
                <w:bCs/>
                <w:sz w:val="22"/>
                <w:szCs w:val="22"/>
              </w:rPr>
            </w:pPr>
            <w:r>
              <w:rPr>
                <w:rFonts w:ascii="Arial" w:hAnsi="Arial" w:cs="Arial"/>
                <w:bCs/>
                <w:sz w:val="22"/>
                <w:szCs w:val="22"/>
              </w:rPr>
              <w:t>285</w:t>
            </w:r>
          </w:p>
        </w:tc>
      </w:tr>
      <w:tr w:rsidR="00053559" w:rsidRPr="000202D9" w:rsidTr="002B2335">
        <w:tc>
          <w:tcPr>
            <w:tcW w:w="3330" w:type="dxa"/>
          </w:tcPr>
          <w:p w:rsidR="00053559" w:rsidRPr="000202D9" w:rsidRDefault="00053559" w:rsidP="000202D9">
            <w:pPr>
              <w:jc w:val="both"/>
              <w:rPr>
                <w:rFonts w:ascii="Arial" w:hAnsi="Arial" w:cs="Arial"/>
                <w:bCs/>
                <w:sz w:val="22"/>
                <w:szCs w:val="22"/>
              </w:rPr>
            </w:pPr>
            <w:r w:rsidRPr="000202D9">
              <w:rPr>
                <w:rFonts w:ascii="Arial" w:hAnsi="Arial" w:cs="Arial"/>
                <w:bCs/>
                <w:sz w:val="22"/>
                <w:szCs w:val="22"/>
              </w:rPr>
              <w:t>Operating expenses</w:t>
            </w:r>
          </w:p>
        </w:tc>
        <w:tc>
          <w:tcPr>
            <w:tcW w:w="1530" w:type="dxa"/>
          </w:tcPr>
          <w:p w:rsidR="00053559" w:rsidRPr="000202D9" w:rsidRDefault="00121439" w:rsidP="000202D9">
            <w:pPr>
              <w:ind w:right="54"/>
              <w:jc w:val="right"/>
              <w:rPr>
                <w:rFonts w:ascii="Arial" w:hAnsi="Arial" w:cs="Arial"/>
                <w:bCs/>
                <w:sz w:val="22"/>
                <w:szCs w:val="22"/>
              </w:rPr>
            </w:pPr>
            <w:r>
              <w:rPr>
                <w:rFonts w:ascii="Arial" w:hAnsi="Arial" w:cs="Arial"/>
                <w:bCs/>
                <w:sz w:val="22"/>
                <w:szCs w:val="22"/>
              </w:rPr>
              <w:t>365</w:t>
            </w:r>
          </w:p>
        </w:tc>
        <w:tc>
          <w:tcPr>
            <w:tcW w:w="1440" w:type="dxa"/>
          </w:tcPr>
          <w:p w:rsidR="00053559" w:rsidRPr="000202D9" w:rsidRDefault="00053559" w:rsidP="00DF77F4">
            <w:pPr>
              <w:ind w:right="54"/>
              <w:jc w:val="right"/>
              <w:rPr>
                <w:rFonts w:ascii="Arial" w:hAnsi="Arial" w:cs="Arial"/>
                <w:bCs/>
                <w:sz w:val="22"/>
                <w:szCs w:val="22"/>
              </w:rPr>
            </w:pPr>
            <w:r w:rsidRPr="000202D9">
              <w:rPr>
                <w:rFonts w:ascii="Arial" w:hAnsi="Arial" w:cs="Arial"/>
                <w:bCs/>
                <w:sz w:val="22"/>
                <w:szCs w:val="22"/>
              </w:rPr>
              <w:t>331</w:t>
            </w:r>
          </w:p>
        </w:tc>
        <w:tc>
          <w:tcPr>
            <w:tcW w:w="1620" w:type="dxa"/>
          </w:tcPr>
          <w:p w:rsidR="00053559" w:rsidRPr="000202D9" w:rsidRDefault="002626D4" w:rsidP="000202D9">
            <w:pPr>
              <w:ind w:right="54"/>
              <w:jc w:val="right"/>
              <w:rPr>
                <w:rFonts w:ascii="Arial" w:hAnsi="Arial" w:cs="Arial"/>
                <w:bCs/>
                <w:sz w:val="22"/>
                <w:szCs w:val="22"/>
              </w:rPr>
            </w:pPr>
            <w:r>
              <w:rPr>
                <w:rFonts w:ascii="Arial" w:hAnsi="Arial" w:cs="Arial"/>
                <w:bCs/>
                <w:sz w:val="22"/>
                <w:szCs w:val="22"/>
              </w:rPr>
              <w:t>34</w:t>
            </w:r>
          </w:p>
        </w:tc>
      </w:tr>
      <w:tr w:rsidR="00053559" w:rsidRPr="000202D9" w:rsidTr="002B2335">
        <w:tc>
          <w:tcPr>
            <w:tcW w:w="3330" w:type="dxa"/>
          </w:tcPr>
          <w:p w:rsidR="00053559" w:rsidRPr="000202D9" w:rsidRDefault="00053559" w:rsidP="000202D9">
            <w:pPr>
              <w:jc w:val="both"/>
              <w:rPr>
                <w:rFonts w:ascii="Arial" w:hAnsi="Arial" w:cs="Arial"/>
                <w:bCs/>
                <w:sz w:val="22"/>
                <w:szCs w:val="22"/>
              </w:rPr>
            </w:pPr>
            <w:r w:rsidRPr="000202D9">
              <w:rPr>
                <w:rFonts w:ascii="Arial" w:hAnsi="Arial" w:cs="Arial"/>
                <w:bCs/>
                <w:sz w:val="22"/>
                <w:szCs w:val="22"/>
              </w:rPr>
              <w:t>Other expenses</w:t>
            </w:r>
          </w:p>
        </w:tc>
        <w:tc>
          <w:tcPr>
            <w:tcW w:w="1530" w:type="dxa"/>
          </w:tcPr>
          <w:p w:rsidR="00053559" w:rsidRPr="000202D9" w:rsidRDefault="00121439" w:rsidP="000202D9">
            <w:pPr>
              <w:ind w:right="54"/>
              <w:jc w:val="right"/>
              <w:rPr>
                <w:rFonts w:ascii="Arial" w:hAnsi="Arial" w:cs="Arial"/>
                <w:bCs/>
                <w:sz w:val="22"/>
                <w:szCs w:val="22"/>
              </w:rPr>
            </w:pPr>
            <w:r>
              <w:rPr>
                <w:rFonts w:ascii="Arial" w:hAnsi="Arial" w:cs="Arial"/>
                <w:bCs/>
                <w:sz w:val="22"/>
                <w:szCs w:val="22"/>
              </w:rPr>
              <w:t>29</w:t>
            </w:r>
          </w:p>
        </w:tc>
        <w:tc>
          <w:tcPr>
            <w:tcW w:w="1440" w:type="dxa"/>
          </w:tcPr>
          <w:p w:rsidR="00053559" w:rsidRPr="000202D9" w:rsidRDefault="00053559" w:rsidP="00DF77F4">
            <w:pPr>
              <w:ind w:right="54"/>
              <w:jc w:val="right"/>
              <w:rPr>
                <w:rFonts w:ascii="Arial" w:hAnsi="Arial" w:cs="Arial"/>
                <w:bCs/>
                <w:sz w:val="22"/>
                <w:szCs w:val="22"/>
              </w:rPr>
            </w:pPr>
            <w:r w:rsidRPr="000202D9">
              <w:rPr>
                <w:rFonts w:ascii="Arial" w:hAnsi="Arial" w:cs="Arial"/>
                <w:bCs/>
                <w:sz w:val="22"/>
                <w:szCs w:val="22"/>
              </w:rPr>
              <w:t>28</w:t>
            </w:r>
          </w:p>
        </w:tc>
        <w:tc>
          <w:tcPr>
            <w:tcW w:w="1620" w:type="dxa"/>
          </w:tcPr>
          <w:p w:rsidR="00053559" w:rsidRPr="000202D9" w:rsidRDefault="002626D4" w:rsidP="000202D9">
            <w:pPr>
              <w:ind w:right="54"/>
              <w:jc w:val="right"/>
              <w:rPr>
                <w:rFonts w:ascii="Arial" w:hAnsi="Arial" w:cs="Arial"/>
                <w:bCs/>
                <w:sz w:val="22"/>
                <w:szCs w:val="22"/>
              </w:rPr>
            </w:pPr>
            <w:r>
              <w:rPr>
                <w:rFonts w:ascii="Arial" w:hAnsi="Arial" w:cs="Arial"/>
                <w:bCs/>
                <w:sz w:val="22"/>
                <w:szCs w:val="22"/>
              </w:rPr>
              <w:t>1</w:t>
            </w:r>
          </w:p>
        </w:tc>
      </w:tr>
      <w:tr w:rsidR="00053559" w:rsidRPr="000202D9" w:rsidTr="002B2335">
        <w:tc>
          <w:tcPr>
            <w:tcW w:w="3330" w:type="dxa"/>
          </w:tcPr>
          <w:p w:rsidR="00053559" w:rsidRPr="000202D9" w:rsidRDefault="00053559" w:rsidP="000202D9">
            <w:pPr>
              <w:jc w:val="both"/>
              <w:rPr>
                <w:rFonts w:ascii="Arial" w:hAnsi="Arial" w:cs="Arial"/>
                <w:bCs/>
                <w:sz w:val="22"/>
                <w:szCs w:val="22"/>
              </w:rPr>
            </w:pPr>
            <w:r w:rsidRPr="000202D9">
              <w:rPr>
                <w:rFonts w:ascii="Arial" w:hAnsi="Arial" w:cs="Arial"/>
                <w:bCs/>
                <w:sz w:val="22"/>
                <w:szCs w:val="22"/>
              </w:rPr>
              <w:t xml:space="preserve">    Total expenses</w:t>
            </w:r>
          </w:p>
        </w:tc>
        <w:tc>
          <w:tcPr>
            <w:tcW w:w="1530" w:type="dxa"/>
          </w:tcPr>
          <w:p w:rsidR="00053559" w:rsidRPr="000202D9" w:rsidRDefault="00121439" w:rsidP="000202D9">
            <w:pPr>
              <w:ind w:right="54"/>
              <w:jc w:val="right"/>
              <w:rPr>
                <w:rFonts w:ascii="Arial" w:hAnsi="Arial" w:cs="Arial"/>
                <w:bCs/>
                <w:sz w:val="22"/>
                <w:szCs w:val="22"/>
              </w:rPr>
            </w:pPr>
            <w:r>
              <w:rPr>
                <w:rFonts w:ascii="Arial" w:hAnsi="Arial" w:cs="Arial"/>
                <w:bCs/>
                <w:sz w:val="22"/>
                <w:szCs w:val="22"/>
              </w:rPr>
              <w:t>394</w:t>
            </w:r>
          </w:p>
        </w:tc>
        <w:tc>
          <w:tcPr>
            <w:tcW w:w="1440" w:type="dxa"/>
          </w:tcPr>
          <w:p w:rsidR="00053559" w:rsidRPr="000202D9" w:rsidRDefault="00053559" w:rsidP="00DF77F4">
            <w:pPr>
              <w:ind w:right="54"/>
              <w:jc w:val="right"/>
              <w:rPr>
                <w:rFonts w:ascii="Arial" w:hAnsi="Arial" w:cs="Arial"/>
                <w:bCs/>
                <w:sz w:val="22"/>
                <w:szCs w:val="22"/>
              </w:rPr>
            </w:pPr>
            <w:r w:rsidRPr="000202D9">
              <w:rPr>
                <w:rFonts w:ascii="Arial" w:hAnsi="Arial" w:cs="Arial"/>
                <w:bCs/>
                <w:sz w:val="22"/>
                <w:szCs w:val="22"/>
              </w:rPr>
              <w:t>359</w:t>
            </w:r>
          </w:p>
        </w:tc>
        <w:tc>
          <w:tcPr>
            <w:tcW w:w="1620" w:type="dxa"/>
          </w:tcPr>
          <w:p w:rsidR="00053559" w:rsidRPr="000202D9" w:rsidRDefault="002626D4" w:rsidP="000202D9">
            <w:pPr>
              <w:ind w:right="54"/>
              <w:jc w:val="right"/>
              <w:rPr>
                <w:rFonts w:ascii="Arial" w:hAnsi="Arial" w:cs="Arial"/>
                <w:bCs/>
                <w:sz w:val="22"/>
                <w:szCs w:val="22"/>
              </w:rPr>
            </w:pPr>
            <w:r>
              <w:rPr>
                <w:rFonts w:ascii="Arial" w:hAnsi="Arial" w:cs="Arial"/>
                <w:bCs/>
                <w:sz w:val="22"/>
                <w:szCs w:val="22"/>
              </w:rPr>
              <w:t>35</w:t>
            </w:r>
          </w:p>
        </w:tc>
      </w:tr>
      <w:tr w:rsidR="00053559" w:rsidRPr="000202D9" w:rsidTr="002B2335">
        <w:tc>
          <w:tcPr>
            <w:tcW w:w="3330" w:type="dxa"/>
          </w:tcPr>
          <w:p w:rsidR="00053559" w:rsidRPr="000202D9" w:rsidRDefault="00053559" w:rsidP="000202D9">
            <w:pPr>
              <w:jc w:val="both"/>
              <w:rPr>
                <w:rFonts w:ascii="Arial" w:hAnsi="Arial" w:cs="Arial"/>
                <w:bCs/>
                <w:sz w:val="22"/>
                <w:szCs w:val="22"/>
              </w:rPr>
            </w:pPr>
            <w:r w:rsidRPr="000202D9">
              <w:rPr>
                <w:rFonts w:ascii="Arial" w:hAnsi="Arial" w:cs="Arial"/>
                <w:bCs/>
                <w:sz w:val="22"/>
                <w:szCs w:val="22"/>
              </w:rPr>
              <w:t>Net profit before income tax</w:t>
            </w:r>
          </w:p>
        </w:tc>
        <w:tc>
          <w:tcPr>
            <w:tcW w:w="1530" w:type="dxa"/>
          </w:tcPr>
          <w:p w:rsidR="00053559" w:rsidRPr="000202D9" w:rsidRDefault="00121439" w:rsidP="000202D9">
            <w:pPr>
              <w:ind w:right="54"/>
              <w:jc w:val="right"/>
              <w:rPr>
                <w:rFonts w:ascii="Arial" w:hAnsi="Arial" w:cs="Arial"/>
                <w:bCs/>
                <w:sz w:val="22"/>
                <w:szCs w:val="22"/>
              </w:rPr>
            </w:pPr>
            <w:r>
              <w:rPr>
                <w:rFonts w:ascii="Arial" w:hAnsi="Arial" w:cs="Arial"/>
                <w:bCs/>
                <w:sz w:val="22"/>
                <w:szCs w:val="22"/>
              </w:rPr>
              <w:t>587</w:t>
            </w:r>
          </w:p>
        </w:tc>
        <w:tc>
          <w:tcPr>
            <w:tcW w:w="1440" w:type="dxa"/>
          </w:tcPr>
          <w:p w:rsidR="00053559" w:rsidRPr="000202D9" w:rsidRDefault="00053559" w:rsidP="00DF77F4">
            <w:pPr>
              <w:ind w:right="54"/>
              <w:jc w:val="right"/>
              <w:rPr>
                <w:rFonts w:ascii="Arial" w:hAnsi="Arial" w:cs="Arial"/>
                <w:bCs/>
                <w:sz w:val="22"/>
                <w:szCs w:val="22"/>
              </w:rPr>
            </w:pPr>
            <w:r w:rsidRPr="000202D9">
              <w:rPr>
                <w:rFonts w:ascii="Arial" w:hAnsi="Arial" w:cs="Arial"/>
                <w:bCs/>
                <w:sz w:val="22"/>
                <w:szCs w:val="22"/>
              </w:rPr>
              <w:t>494</w:t>
            </w:r>
          </w:p>
        </w:tc>
        <w:tc>
          <w:tcPr>
            <w:tcW w:w="1620" w:type="dxa"/>
          </w:tcPr>
          <w:p w:rsidR="00053559" w:rsidRPr="000202D9" w:rsidRDefault="002626D4" w:rsidP="000202D9">
            <w:pPr>
              <w:ind w:right="54"/>
              <w:jc w:val="right"/>
              <w:rPr>
                <w:rFonts w:ascii="Arial" w:hAnsi="Arial" w:cs="Arial"/>
                <w:bCs/>
                <w:sz w:val="22"/>
                <w:szCs w:val="22"/>
              </w:rPr>
            </w:pPr>
            <w:r>
              <w:rPr>
                <w:rFonts w:ascii="Arial" w:hAnsi="Arial" w:cs="Arial"/>
                <w:bCs/>
                <w:sz w:val="22"/>
                <w:szCs w:val="22"/>
              </w:rPr>
              <w:t>93</w:t>
            </w:r>
          </w:p>
        </w:tc>
      </w:tr>
      <w:tr w:rsidR="00053559" w:rsidRPr="000202D9" w:rsidTr="002B2335">
        <w:trPr>
          <w:trHeight w:val="233"/>
        </w:trPr>
        <w:tc>
          <w:tcPr>
            <w:tcW w:w="3330" w:type="dxa"/>
            <w:vAlign w:val="bottom"/>
          </w:tcPr>
          <w:p w:rsidR="00053559" w:rsidRPr="000202D9" w:rsidRDefault="00053559" w:rsidP="000202D9">
            <w:pPr>
              <w:jc w:val="both"/>
              <w:rPr>
                <w:rFonts w:ascii="Arial" w:hAnsi="Arial" w:cs="Arial"/>
                <w:bCs/>
                <w:sz w:val="22"/>
                <w:szCs w:val="22"/>
              </w:rPr>
            </w:pPr>
            <w:r w:rsidRPr="000202D9">
              <w:rPr>
                <w:rFonts w:ascii="Arial" w:hAnsi="Arial" w:cs="Arial"/>
                <w:bCs/>
                <w:sz w:val="22"/>
                <w:szCs w:val="22"/>
              </w:rPr>
              <w:t>Income tax expense</w:t>
            </w:r>
          </w:p>
        </w:tc>
        <w:tc>
          <w:tcPr>
            <w:tcW w:w="1530" w:type="dxa"/>
            <w:vAlign w:val="bottom"/>
          </w:tcPr>
          <w:p w:rsidR="00053559" w:rsidRPr="000202D9" w:rsidRDefault="00121439" w:rsidP="000202D9">
            <w:pPr>
              <w:ind w:right="54"/>
              <w:jc w:val="right"/>
              <w:rPr>
                <w:rFonts w:ascii="Arial" w:hAnsi="Arial" w:cs="Arial"/>
                <w:bCs/>
                <w:sz w:val="22"/>
                <w:szCs w:val="22"/>
              </w:rPr>
            </w:pPr>
            <w:r>
              <w:rPr>
                <w:rFonts w:ascii="Arial" w:hAnsi="Arial" w:cs="Arial"/>
                <w:bCs/>
                <w:sz w:val="22"/>
                <w:szCs w:val="22"/>
              </w:rPr>
              <w:t>172</w:t>
            </w:r>
          </w:p>
        </w:tc>
        <w:tc>
          <w:tcPr>
            <w:tcW w:w="1440" w:type="dxa"/>
            <w:vAlign w:val="bottom"/>
          </w:tcPr>
          <w:p w:rsidR="00053559" w:rsidRPr="000202D9" w:rsidRDefault="00053559" w:rsidP="00DF77F4">
            <w:pPr>
              <w:ind w:right="54"/>
              <w:jc w:val="right"/>
              <w:rPr>
                <w:rFonts w:ascii="Arial" w:hAnsi="Arial" w:cs="Arial"/>
                <w:bCs/>
                <w:sz w:val="22"/>
                <w:szCs w:val="22"/>
              </w:rPr>
            </w:pPr>
            <w:r w:rsidRPr="000202D9">
              <w:rPr>
                <w:rFonts w:ascii="Arial" w:hAnsi="Arial" w:cs="Arial"/>
                <w:bCs/>
                <w:sz w:val="22"/>
                <w:szCs w:val="22"/>
              </w:rPr>
              <w:t>120</w:t>
            </w:r>
          </w:p>
        </w:tc>
        <w:tc>
          <w:tcPr>
            <w:tcW w:w="1620" w:type="dxa"/>
            <w:vAlign w:val="bottom"/>
          </w:tcPr>
          <w:p w:rsidR="00053559" w:rsidRPr="000202D9" w:rsidRDefault="002626D4" w:rsidP="000202D9">
            <w:pPr>
              <w:ind w:right="54"/>
              <w:jc w:val="right"/>
              <w:rPr>
                <w:rFonts w:ascii="Arial" w:hAnsi="Arial" w:cs="Arial"/>
                <w:bCs/>
                <w:sz w:val="22"/>
                <w:szCs w:val="22"/>
              </w:rPr>
            </w:pPr>
            <w:r>
              <w:rPr>
                <w:rFonts w:ascii="Arial" w:hAnsi="Arial" w:cs="Arial"/>
                <w:bCs/>
                <w:sz w:val="22"/>
                <w:szCs w:val="22"/>
              </w:rPr>
              <w:t>52</w:t>
            </w:r>
          </w:p>
        </w:tc>
      </w:tr>
      <w:tr w:rsidR="00053559" w:rsidRPr="000202D9" w:rsidTr="002B2335">
        <w:trPr>
          <w:trHeight w:val="143"/>
        </w:trPr>
        <w:tc>
          <w:tcPr>
            <w:tcW w:w="3330" w:type="dxa"/>
            <w:vAlign w:val="bottom"/>
          </w:tcPr>
          <w:p w:rsidR="00053559" w:rsidRPr="000202D9" w:rsidRDefault="00053559" w:rsidP="000202D9">
            <w:pPr>
              <w:jc w:val="both"/>
              <w:rPr>
                <w:rFonts w:ascii="Arial" w:hAnsi="Arial" w:cs="Arial"/>
                <w:bCs/>
                <w:sz w:val="22"/>
                <w:szCs w:val="22"/>
              </w:rPr>
            </w:pPr>
            <w:r w:rsidRPr="000202D9">
              <w:rPr>
                <w:rFonts w:ascii="Arial" w:hAnsi="Arial" w:cs="Arial"/>
                <w:bCs/>
                <w:sz w:val="22"/>
                <w:szCs w:val="22"/>
              </w:rPr>
              <w:t xml:space="preserve">    Net profit</w:t>
            </w:r>
          </w:p>
        </w:tc>
        <w:tc>
          <w:tcPr>
            <w:tcW w:w="1530" w:type="dxa"/>
            <w:vAlign w:val="bottom"/>
          </w:tcPr>
          <w:p w:rsidR="00053559" w:rsidRPr="000202D9" w:rsidRDefault="00121439" w:rsidP="000202D9">
            <w:pPr>
              <w:ind w:right="54"/>
              <w:jc w:val="right"/>
              <w:rPr>
                <w:rFonts w:ascii="Arial" w:hAnsi="Arial" w:cs="Arial"/>
                <w:bCs/>
                <w:sz w:val="22"/>
                <w:szCs w:val="22"/>
              </w:rPr>
            </w:pPr>
            <w:r>
              <w:rPr>
                <w:rFonts w:ascii="Arial" w:hAnsi="Arial" w:cs="Arial"/>
                <w:bCs/>
                <w:sz w:val="22"/>
                <w:szCs w:val="22"/>
              </w:rPr>
              <w:t>41</w:t>
            </w:r>
            <w:r w:rsidR="002626D4">
              <w:rPr>
                <w:rFonts w:ascii="Arial" w:hAnsi="Arial" w:cs="Arial"/>
                <w:bCs/>
                <w:sz w:val="22"/>
                <w:szCs w:val="22"/>
              </w:rPr>
              <w:t>5</w:t>
            </w:r>
          </w:p>
        </w:tc>
        <w:tc>
          <w:tcPr>
            <w:tcW w:w="1440" w:type="dxa"/>
            <w:vAlign w:val="bottom"/>
          </w:tcPr>
          <w:p w:rsidR="00053559" w:rsidRPr="000202D9" w:rsidRDefault="00053559" w:rsidP="00DF77F4">
            <w:pPr>
              <w:ind w:right="54"/>
              <w:jc w:val="right"/>
              <w:rPr>
                <w:rFonts w:ascii="Arial" w:hAnsi="Arial" w:cs="Arial"/>
                <w:bCs/>
                <w:sz w:val="22"/>
                <w:szCs w:val="22"/>
              </w:rPr>
            </w:pPr>
            <w:r w:rsidRPr="000202D9">
              <w:rPr>
                <w:rFonts w:ascii="Arial" w:hAnsi="Arial" w:cs="Arial"/>
                <w:bCs/>
                <w:sz w:val="22"/>
                <w:szCs w:val="22"/>
              </w:rPr>
              <w:t>374</w:t>
            </w:r>
          </w:p>
        </w:tc>
        <w:tc>
          <w:tcPr>
            <w:tcW w:w="1620" w:type="dxa"/>
            <w:vAlign w:val="bottom"/>
          </w:tcPr>
          <w:p w:rsidR="00053559" w:rsidRPr="000202D9" w:rsidRDefault="002626D4" w:rsidP="000202D9">
            <w:pPr>
              <w:ind w:right="54"/>
              <w:jc w:val="right"/>
              <w:rPr>
                <w:rFonts w:ascii="Arial" w:hAnsi="Arial" w:cs="Arial"/>
                <w:bCs/>
                <w:sz w:val="22"/>
                <w:szCs w:val="22"/>
              </w:rPr>
            </w:pPr>
            <w:r>
              <w:rPr>
                <w:rFonts w:ascii="Arial" w:hAnsi="Arial" w:cs="Arial"/>
                <w:bCs/>
                <w:sz w:val="22"/>
                <w:szCs w:val="22"/>
              </w:rPr>
              <w:t>41</w:t>
            </w:r>
          </w:p>
        </w:tc>
      </w:tr>
    </w:tbl>
    <w:p w:rsidR="00AC6733" w:rsidRPr="009A4803" w:rsidRDefault="00016478" w:rsidP="000202D9">
      <w:pPr>
        <w:jc w:val="center"/>
        <w:rPr>
          <w:rFonts w:ascii="Arial" w:hAnsi="Arial" w:cs="Arial"/>
          <w:bCs/>
          <w:i/>
          <w:sz w:val="22"/>
          <w:szCs w:val="22"/>
        </w:rPr>
      </w:pPr>
      <w:r w:rsidRPr="009A4803">
        <w:rPr>
          <w:rFonts w:ascii="Arial" w:hAnsi="Arial" w:cs="Arial"/>
          <w:bCs/>
          <w:i/>
          <w:sz w:val="22"/>
          <w:szCs w:val="22"/>
        </w:rPr>
        <w:t>Budget Utilization</w:t>
      </w:r>
    </w:p>
    <w:tbl>
      <w:tblPr>
        <w:tblW w:w="0" w:type="auto"/>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1440"/>
        <w:gridCol w:w="1620"/>
      </w:tblGrid>
      <w:tr w:rsidR="009A4803" w:rsidRPr="009A4803" w:rsidTr="002B2335">
        <w:tc>
          <w:tcPr>
            <w:tcW w:w="4860" w:type="dxa"/>
            <w:tcBorders>
              <w:top w:val="single" w:sz="4" w:space="0" w:color="auto"/>
            </w:tcBorders>
            <w:shd w:val="clear" w:color="auto" w:fill="FDE9D9" w:themeFill="accent6" w:themeFillTint="33"/>
            <w:vAlign w:val="center"/>
          </w:tcPr>
          <w:p w:rsidR="003B7F65" w:rsidRPr="009A4803" w:rsidRDefault="003B7F65" w:rsidP="000202D9">
            <w:pPr>
              <w:contextualSpacing/>
              <w:jc w:val="both"/>
              <w:rPr>
                <w:rFonts w:ascii="Arial" w:hAnsi="Arial" w:cs="Arial"/>
                <w:b/>
                <w:bCs/>
                <w:sz w:val="22"/>
                <w:szCs w:val="22"/>
              </w:rPr>
            </w:pPr>
          </w:p>
        </w:tc>
        <w:tc>
          <w:tcPr>
            <w:tcW w:w="1440" w:type="dxa"/>
            <w:tcBorders>
              <w:top w:val="single" w:sz="4" w:space="0" w:color="auto"/>
            </w:tcBorders>
            <w:shd w:val="clear" w:color="auto" w:fill="FDE9D9" w:themeFill="accent6" w:themeFillTint="33"/>
            <w:vAlign w:val="center"/>
          </w:tcPr>
          <w:p w:rsidR="003B7F65" w:rsidRPr="009A4803" w:rsidRDefault="00016478" w:rsidP="000202D9">
            <w:pPr>
              <w:contextualSpacing/>
              <w:jc w:val="center"/>
              <w:rPr>
                <w:rFonts w:ascii="Arial" w:hAnsi="Arial" w:cs="Arial"/>
                <w:b/>
                <w:bCs/>
                <w:sz w:val="22"/>
                <w:szCs w:val="22"/>
              </w:rPr>
            </w:pPr>
            <w:r w:rsidRPr="009A4803">
              <w:rPr>
                <w:rFonts w:ascii="Arial" w:hAnsi="Arial" w:cs="Arial"/>
                <w:b/>
                <w:bCs/>
                <w:sz w:val="22"/>
                <w:szCs w:val="22"/>
              </w:rPr>
              <w:t>Budget</w:t>
            </w:r>
          </w:p>
        </w:tc>
        <w:tc>
          <w:tcPr>
            <w:tcW w:w="1620" w:type="dxa"/>
            <w:tcBorders>
              <w:top w:val="single" w:sz="4" w:space="0" w:color="auto"/>
            </w:tcBorders>
            <w:shd w:val="clear" w:color="auto" w:fill="FDE9D9" w:themeFill="accent6" w:themeFillTint="33"/>
            <w:vAlign w:val="center"/>
          </w:tcPr>
          <w:p w:rsidR="003B7F65" w:rsidRPr="009A4803" w:rsidRDefault="00016478" w:rsidP="000202D9">
            <w:pPr>
              <w:contextualSpacing/>
              <w:jc w:val="center"/>
              <w:rPr>
                <w:rFonts w:ascii="Arial" w:hAnsi="Arial" w:cs="Arial"/>
                <w:b/>
                <w:bCs/>
                <w:sz w:val="22"/>
                <w:szCs w:val="22"/>
              </w:rPr>
            </w:pPr>
            <w:r w:rsidRPr="009A4803">
              <w:rPr>
                <w:rFonts w:ascii="Arial" w:hAnsi="Arial" w:cs="Arial"/>
                <w:b/>
                <w:bCs/>
                <w:sz w:val="22"/>
                <w:szCs w:val="22"/>
              </w:rPr>
              <w:t>Expenditures</w:t>
            </w:r>
          </w:p>
        </w:tc>
      </w:tr>
      <w:tr w:rsidR="009A4803" w:rsidRPr="009A4803" w:rsidTr="002B2335">
        <w:tc>
          <w:tcPr>
            <w:tcW w:w="4860" w:type="dxa"/>
            <w:tcBorders>
              <w:top w:val="single" w:sz="4" w:space="0" w:color="auto"/>
            </w:tcBorders>
          </w:tcPr>
          <w:p w:rsidR="003B7F65" w:rsidRPr="009A4803" w:rsidRDefault="00016478" w:rsidP="000202D9">
            <w:pPr>
              <w:jc w:val="both"/>
              <w:rPr>
                <w:rFonts w:ascii="Arial" w:hAnsi="Arial" w:cs="Arial"/>
                <w:bCs/>
                <w:sz w:val="22"/>
                <w:szCs w:val="22"/>
              </w:rPr>
            </w:pPr>
            <w:r w:rsidRPr="009A4803">
              <w:rPr>
                <w:rFonts w:ascii="Arial" w:hAnsi="Arial" w:cs="Arial"/>
                <w:bCs/>
                <w:sz w:val="22"/>
                <w:szCs w:val="22"/>
              </w:rPr>
              <w:t>Personal services</w:t>
            </w:r>
          </w:p>
        </w:tc>
        <w:tc>
          <w:tcPr>
            <w:tcW w:w="1440" w:type="dxa"/>
            <w:vMerge w:val="restart"/>
            <w:tcBorders>
              <w:top w:val="single" w:sz="4" w:space="0" w:color="auto"/>
            </w:tcBorders>
            <w:vAlign w:val="center"/>
          </w:tcPr>
          <w:p w:rsidR="0015434E" w:rsidRPr="00171769" w:rsidRDefault="00171769" w:rsidP="000202D9">
            <w:pPr>
              <w:jc w:val="center"/>
              <w:rPr>
                <w:rFonts w:ascii="Arial" w:hAnsi="Arial" w:cs="Arial"/>
                <w:b/>
                <w:sz w:val="22"/>
                <w:szCs w:val="22"/>
              </w:rPr>
            </w:pPr>
            <w:r w:rsidRPr="00171769">
              <w:rPr>
                <w:rFonts w:ascii="Arial" w:hAnsi="Arial" w:cs="Arial"/>
                <w:b/>
                <w:sz w:val="22"/>
                <w:szCs w:val="22"/>
              </w:rPr>
              <w:t>872,733</w:t>
            </w:r>
          </w:p>
          <w:p w:rsidR="003B7F65" w:rsidRPr="009A4803" w:rsidRDefault="003B7F65" w:rsidP="000202D9">
            <w:pPr>
              <w:contextualSpacing/>
              <w:jc w:val="right"/>
              <w:rPr>
                <w:rFonts w:ascii="Arial" w:hAnsi="Arial" w:cs="Arial"/>
                <w:b/>
                <w:bCs/>
                <w:sz w:val="22"/>
                <w:szCs w:val="22"/>
              </w:rPr>
            </w:pPr>
          </w:p>
        </w:tc>
        <w:tc>
          <w:tcPr>
            <w:tcW w:w="1620" w:type="dxa"/>
            <w:tcBorders>
              <w:top w:val="single" w:sz="4" w:space="0" w:color="auto"/>
            </w:tcBorders>
            <w:vAlign w:val="center"/>
          </w:tcPr>
          <w:p w:rsidR="003B7F65" w:rsidRPr="009A4803" w:rsidRDefault="000A766C" w:rsidP="000202D9">
            <w:pPr>
              <w:contextualSpacing/>
              <w:jc w:val="right"/>
              <w:rPr>
                <w:rFonts w:ascii="Arial" w:hAnsi="Arial" w:cs="Arial"/>
                <w:bCs/>
                <w:sz w:val="22"/>
                <w:szCs w:val="22"/>
              </w:rPr>
            </w:pPr>
            <w:r w:rsidRPr="009A4803">
              <w:rPr>
                <w:rFonts w:ascii="Arial" w:hAnsi="Arial" w:cs="Arial"/>
                <w:bCs/>
                <w:sz w:val="22"/>
                <w:szCs w:val="22"/>
              </w:rPr>
              <w:t>232,421</w:t>
            </w:r>
          </w:p>
        </w:tc>
      </w:tr>
      <w:tr w:rsidR="009A4803" w:rsidRPr="009A4803" w:rsidTr="00F72561">
        <w:trPr>
          <w:trHeight w:val="152"/>
        </w:trPr>
        <w:tc>
          <w:tcPr>
            <w:tcW w:w="4860" w:type="dxa"/>
            <w:tcBorders>
              <w:top w:val="single" w:sz="4" w:space="0" w:color="auto"/>
              <w:bottom w:val="single" w:sz="4" w:space="0" w:color="000000" w:themeColor="text1"/>
            </w:tcBorders>
          </w:tcPr>
          <w:p w:rsidR="003B7F65" w:rsidRPr="009A4803" w:rsidRDefault="00016478" w:rsidP="000202D9">
            <w:pPr>
              <w:jc w:val="both"/>
              <w:rPr>
                <w:rFonts w:ascii="Arial" w:hAnsi="Arial" w:cs="Arial"/>
                <w:bCs/>
                <w:sz w:val="22"/>
                <w:szCs w:val="22"/>
              </w:rPr>
            </w:pPr>
            <w:r w:rsidRPr="009A4803">
              <w:rPr>
                <w:rFonts w:ascii="Arial" w:hAnsi="Arial" w:cs="Arial"/>
                <w:bCs/>
                <w:sz w:val="22"/>
                <w:szCs w:val="22"/>
              </w:rPr>
              <w:t>Maintenance and other operating expenses</w:t>
            </w:r>
          </w:p>
        </w:tc>
        <w:tc>
          <w:tcPr>
            <w:tcW w:w="1440" w:type="dxa"/>
            <w:vMerge/>
            <w:tcBorders>
              <w:bottom w:val="single" w:sz="4" w:space="0" w:color="000000" w:themeColor="text1"/>
            </w:tcBorders>
            <w:vAlign w:val="center"/>
          </w:tcPr>
          <w:p w:rsidR="003B7F65" w:rsidRPr="009A4803" w:rsidRDefault="003B7F65" w:rsidP="000202D9">
            <w:pPr>
              <w:keepNext/>
              <w:ind w:left="360"/>
              <w:contextualSpacing/>
              <w:jc w:val="right"/>
              <w:outlineLvl w:val="2"/>
              <w:rPr>
                <w:rFonts w:ascii="Arial" w:hAnsi="Arial" w:cs="Arial"/>
                <w:b/>
                <w:bCs/>
                <w:sz w:val="22"/>
                <w:szCs w:val="22"/>
              </w:rPr>
            </w:pPr>
          </w:p>
        </w:tc>
        <w:tc>
          <w:tcPr>
            <w:tcW w:w="1620" w:type="dxa"/>
            <w:tcBorders>
              <w:top w:val="single" w:sz="4" w:space="0" w:color="auto"/>
              <w:bottom w:val="single" w:sz="4" w:space="0" w:color="000000" w:themeColor="text1"/>
            </w:tcBorders>
            <w:vAlign w:val="center"/>
          </w:tcPr>
          <w:p w:rsidR="003B7F65" w:rsidRPr="009A4803" w:rsidRDefault="009A3813" w:rsidP="000202D9">
            <w:pPr>
              <w:contextualSpacing/>
              <w:jc w:val="right"/>
              <w:rPr>
                <w:rFonts w:ascii="Arial" w:hAnsi="Arial" w:cs="Arial"/>
                <w:bCs/>
                <w:sz w:val="22"/>
                <w:szCs w:val="22"/>
              </w:rPr>
            </w:pPr>
            <w:r>
              <w:rPr>
                <w:rFonts w:ascii="Arial" w:hAnsi="Arial" w:cs="Arial"/>
                <w:bCs/>
                <w:sz w:val="22"/>
                <w:szCs w:val="22"/>
              </w:rPr>
              <w:t>132,461</w:t>
            </w:r>
          </w:p>
        </w:tc>
      </w:tr>
      <w:tr w:rsidR="009A4803" w:rsidRPr="009A4803" w:rsidTr="00F72561">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7F65" w:rsidRPr="009A4803" w:rsidRDefault="00016478" w:rsidP="000202D9">
            <w:pPr>
              <w:jc w:val="both"/>
              <w:rPr>
                <w:rFonts w:ascii="Arial" w:hAnsi="Arial" w:cs="Arial"/>
                <w:bCs/>
                <w:sz w:val="22"/>
                <w:szCs w:val="22"/>
              </w:rPr>
            </w:pPr>
            <w:r w:rsidRPr="009A4803">
              <w:rPr>
                <w:rFonts w:ascii="Arial" w:hAnsi="Arial" w:cs="Arial"/>
                <w:bCs/>
                <w:sz w:val="22"/>
                <w:szCs w:val="22"/>
              </w:rPr>
              <w:t>Financial expenses</w:t>
            </w:r>
          </w:p>
        </w:tc>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7F65" w:rsidRPr="009A4803" w:rsidRDefault="003B7F65" w:rsidP="000202D9">
            <w:pPr>
              <w:keepNext/>
              <w:ind w:left="360"/>
              <w:contextualSpacing/>
              <w:jc w:val="right"/>
              <w:outlineLvl w:val="2"/>
              <w:rPr>
                <w:rFonts w:ascii="Arial" w:hAnsi="Arial" w:cs="Arial"/>
                <w:b/>
                <w:bCs/>
                <w:sz w:val="22"/>
                <w:szCs w:val="22"/>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7F65" w:rsidRPr="009A4803" w:rsidRDefault="000A766C" w:rsidP="000202D9">
            <w:pPr>
              <w:contextualSpacing/>
              <w:jc w:val="right"/>
              <w:rPr>
                <w:rFonts w:ascii="Arial" w:hAnsi="Arial" w:cs="Arial"/>
                <w:bCs/>
                <w:sz w:val="22"/>
                <w:szCs w:val="22"/>
              </w:rPr>
            </w:pPr>
            <w:r w:rsidRPr="009A4803">
              <w:rPr>
                <w:rFonts w:ascii="Arial" w:hAnsi="Arial" w:cs="Arial"/>
                <w:bCs/>
                <w:sz w:val="22"/>
                <w:szCs w:val="22"/>
              </w:rPr>
              <w:t>29,048</w:t>
            </w:r>
          </w:p>
        </w:tc>
      </w:tr>
      <w:tr w:rsidR="009A4803" w:rsidRPr="009A4803" w:rsidTr="00F72561">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7F65" w:rsidRPr="00127B48" w:rsidRDefault="00016478" w:rsidP="000202D9">
            <w:pPr>
              <w:jc w:val="both"/>
              <w:rPr>
                <w:rFonts w:ascii="Arial" w:hAnsi="Arial" w:cs="Arial"/>
                <w:bCs/>
                <w:color w:val="000000" w:themeColor="text1"/>
                <w:sz w:val="22"/>
                <w:szCs w:val="22"/>
              </w:rPr>
            </w:pPr>
            <w:r w:rsidRPr="00127B48">
              <w:rPr>
                <w:rFonts w:ascii="Arial" w:hAnsi="Arial" w:cs="Arial"/>
                <w:bCs/>
                <w:color w:val="000000" w:themeColor="text1"/>
                <w:sz w:val="22"/>
                <w:szCs w:val="22"/>
              </w:rPr>
              <w:t>Capital outlay</w:t>
            </w:r>
          </w:p>
        </w:tc>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7F65" w:rsidRPr="009A4803" w:rsidRDefault="003B7F65" w:rsidP="000202D9">
            <w:pPr>
              <w:keepNext/>
              <w:ind w:left="360"/>
              <w:contextualSpacing/>
              <w:jc w:val="right"/>
              <w:outlineLvl w:val="2"/>
              <w:rPr>
                <w:rFonts w:ascii="Arial" w:hAnsi="Arial" w:cs="Arial"/>
                <w:b/>
                <w:bCs/>
                <w:sz w:val="22"/>
                <w:szCs w:val="22"/>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7F65" w:rsidRPr="009A4803" w:rsidRDefault="009A3813" w:rsidP="00171769">
            <w:pPr>
              <w:contextualSpacing/>
              <w:jc w:val="right"/>
              <w:rPr>
                <w:rFonts w:ascii="Arial" w:hAnsi="Arial" w:cs="Arial"/>
                <w:bCs/>
                <w:sz w:val="22"/>
                <w:szCs w:val="22"/>
              </w:rPr>
            </w:pPr>
            <w:r>
              <w:rPr>
                <w:rFonts w:ascii="Arial" w:hAnsi="Arial" w:cs="Arial"/>
                <w:bCs/>
                <w:sz w:val="22"/>
                <w:szCs w:val="22"/>
              </w:rPr>
              <w:t>8,</w:t>
            </w:r>
            <w:r w:rsidR="00171769">
              <w:rPr>
                <w:rFonts w:ascii="Arial" w:hAnsi="Arial" w:cs="Arial"/>
                <w:bCs/>
                <w:sz w:val="22"/>
                <w:szCs w:val="22"/>
              </w:rPr>
              <w:t>553</w:t>
            </w:r>
          </w:p>
        </w:tc>
      </w:tr>
      <w:tr w:rsidR="009A4803" w:rsidRPr="009A4803" w:rsidTr="00F72561">
        <w:trPr>
          <w:trHeight w:val="242"/>
        </w:trPr>
        <w:tc>
          <w:tcPr>
            <w:tcW w:w="4860" w:type="dxa"/>
            <w:tcBorders>
              <w:top w:val="single" w:sz="4" w:space="0" w:color="000000" w:themeColor="text1"/>
            </w:tcBorders>
            <w:vAlign w:val="bottom"/>
          </w:tcPr>
          <w:p w:rsidR="003B7F65" w:rsidRPr="009A4803" w:rsidRDefault="00016478" w:rsidP="000202D9">
            <w:pPr>
              <w:jc w:val="both"/>
              <w:rPr>
                <w:rFonts w:ascii="Arial" w:hAnsi="Arial" w:cs="Arial"/>
                <w:b/>
                <w:bCs/>
                <w:sz w:val="22"/>
                <w:szCs w:val="22"/>
              </w:rPr>
            </w:pPr>
            <w:r w:rsidRPr="009A4803">
              <w:rPr>
                <w:rFonts w:ascii="Arial" w:hAnsi="Arial" w:cs="Arial"/>
                <w:b/>
                <w:bCs/>
                <w:sz w:val="22"/>
                <w:szCs w:val="22"/>
              </w:rPr>
              <w:t>Total</w:t>
            </w:r>
          </w:p>
        </w:tc>
        <w:tc>
          <w:tcPr>
            <w:tcW w:w="1440" w:type="dxa"/>
            <w:vMerge/>
            <w:tcBorders>
              <w:top w:val="single" w:sz="4" w:space="0" w:color="000000" w:themeColor="text1"/>
            </w:tcBorders>
            <w:vAlign w:val="bottom"/>
          </w:tcPr>
          <w:p w:rsidR="003B7F65" w:rsidRPr="009A4803" w:rsidRDefault="003B7F65" w:rsidP="000202D9">
            <w:pPr>
              <w:contextualSpacing/>
              <w:jc w:val="right"/>
              <w:rPr>
                <w:rFonts w:ascii="Arial" w:hAnsi="Arial" w:cs="Arial"/>
                <w:b/>
                <w:bCs/>
                <w:sz w:val="22"/>
                <w:szCs w:val="22"/>
              </w:rPr>
            </w:pPr>
          </w:p>
        </w:tc>
        <w:tc>
          <w:tcPr>
            <w:tcW w:w="1620" w:type="dxa"/>
            <w:tcBorders>
              <w:top w:val="single" w:sz="4" w:space="0" w:color="000000" w:themeColor="text1"/>
            </w:tcBorders>
            <w:vAlign w:val="bottom"/>
          </w:tcPr>
          <w:p w:rsidR="003B7F65" w:rsidRPr="00127B48" w:rsidRDefault="00127B48" w:rsidP="00171769">
            <w:pPr>
              <w:contextualSpacing/>
              <w:jc w:val="right"/>
              <w:rPr>
                <w:rFonts w:ascii="Arial" w:hAnsi="Arial" w:cs="Arial"/>
                <w:b/>
                <w:bCs/>
                <w:color w:val="000000" w:themeColor="text1"/>
                <w:sz w:val="22"/>
                <w:szCs w:val="22"/>
              </w:rPr>
            </w:pPr>
            <w:r>
              <w:rPr>
                <w:rFonts w:ascii="Arial" w:hAnsi="Arial" w:cs="Arial"/>
                <w:b/>
                <w:bCs/>
                <w:color w:val="000000" w:themeColor="text1"/>
                <w:sz w:val="22"/>
                <w:szCs w:val="22"/>
              </w:rPr>
              <w:t>402,</w:t>
            </w:r>
            <w:r w:rsidR="00171769">
              <w:rPr>
                <w:rFonts w:ascii="Arial" w:hAnsi="Arial" w:cs="Arial"/>
                <w:b/>
                <w:bCs/>
                <w:color w:val="000000" w:themeColor="text1"/>
                <w:sz w:val="22"/>
                <w:szCs w:val="22"/>
              </w:rPr>
              <w:t>483</w:t>
            </w:r>
          </w:p>
        </w:tc>
      </w:tr>
    </w:tbl>
    <w:p w:rsidR="002B2335" w:rsidRPr="009A4803" w:rsidRDefault="002B2335" w:rsidP="000202D9">
      <w:pPr>
        <w:pStyle w:val="ListParagraph"/>
        <w:spacing w:after="0" w:line="240" w:lineRule="auto"/>
        <w:ind w:left="0"/>
        <w:jc w:val="both"/>
        <w:rPr>
          <w:rFonts w:ascii="Arial" w:hAnsi="Arial" w:cs="Arial"/>
          <w:bCs/>
        </w:rPr>
      </w:pPr>
    </w:p>
    <w:p w:rsidR="009A4803" w:rsidRPr="009A4803" w:rsidRDefault="009A4803" w:rsidP="000202D9">
      <w:pPr>
        <w:pStyle w:val="ListParagraph"/>
        <w:spacing w:after="0" w:line="240" w:lineRule="auto"/>
        <w:ind w:left="0"/>
        <w:jc w:val="both"/>
        <w:rPr>
          <w:rFonts w:ascii="Arial" w:hAnsi="Arial" w:cs="Arial"/>
          <w:bCs/>
        </w:rPr>
      </w:pPr>
    </w:p>
    <w:p w:rsidR="00016478" w:rsidRPr="00161613" w:rsidRDefault="00016478" w:rsidP="000202D9">
      <w:pPr>
        <w:pStyle w:val="ListParagraph"/>
        <w:numPr>
          <w:ilvl w:val="0"/>
          <w:numId w:val="11"/>
        </w:numPr>
        <w:spacing w:after="0" w:line="240" w:lineRule="auto"/>
        <w:ind w:left="450" w:hanging="450"/>
        <w:jc w:val="both"/>
        <w:rPr>
          <w:rFonts w:ascii="Arial" w:hAnsi="Arial" w:cs="Arial"/>
          <w:b/>
          <w:bCs/>
          <w:color w:val="000000" w:themeColor="text1"/>
        </w:rPr>
      </w:pPr>
      <w:r w:rsidRPr="00161613">
        <w:rPr>
          <w:rFonts w:ascii="Arial" w:hAnsi="Arial" w:cs="Arial"/>
          <w:b/>
          <w:bCs/>
          <w:color w:val="000000" w:themeColor="text1"/>
        </w:rPr>
        <w:t>Operational Highlight</w:t>
      </w:r>
      <w:r w:rsidR="002B2335" w:rsidRPr="00161613">
        <w:rPr>
          <w:rFonts w:ascii="Arial" w:hAnsi="Arial" w:cs="Arial"/>
          <w:b/>
          <w:bCs/>
          <w:color w:val="000000" w:themeColor="text1"/>
        </w:rPr>
        <w:t>s</w:t>
      </w:r>
    </w:p>
    <w:p w:rsidR="002B2335" w:rsidRPr="00161613" w:rsidRDefault="002B2335" w:rsidP="000202D9">
      <w:pPr>
        <w:pStyle w:val="ListParagraph"/>
        <w:spacing w:after="0" w:line="240" w:lineRule="auto"/>
        <w:ind w:left="450" w:firstLine="540"/>
        <w:jc w:val="both"/>
        <w:rPr>
          <w:rFonts w:ascii="Arial" w:hAnsi="Arial" w:cs="Arial"/>
          <w:b/>
          <w:bCs/>
          <w:color w:val="000000" w:themeColor="text1"/>
        </w:rPr>
      </w:pPr>
    </w:p>
    <w:p w:rsidR="002B2335" w:rsidRPr="00161613" w:rsidRDefault="0010656C" w:rsidP="000202D9">
      <w:pPr>
        <w:ind w:firstLine="432"/>
        <w:jc w:val="both"/>
        <w:rPr>
          <w:rFonts w:ascii="Arial" w:hAnsi="Arial" w:cs="Arial"/>
          <w:bCs/>
          <w:color w:val="000000" w:themeColor="text1"/>
          <w:sz w:val="22"/>
          <w:szCs w:val="22"/>
        </w:rPr>
      </w:pPr>
      <w:r w:rsidRPr="00161613">
        <w:rPr>
          <w:rFonts w:ascii="Arial" w:hAnsi="Arial" w:cs="Arial"/>
          <w:bCs/>
          <w:color w:val="000000" w:themeColor="text1"/>
          <w:sz w:val="22"/>
          <w:szCs w:val="22"/>
        </w:rPr>
        <w:t>For CY 2014</w:t>
      </w:r>
      <w:r w:rsidR="00CD75E9" w:rsidRPr="00161613">
        <w:rPr>
          <w:rFonts w:ascii="Arial" w:hAnsi="Arial" w:cs="Arial"/>
          <w:bCs/>
          <w:color w:val="000000" w:themeColor="text1"/>
          <w:sz w:val="22"/>
          <w:szCs w:val="22"/>
        </w:rPr>
        <w:t>, NEA</w:t>
      </w:r>
      <w:r w:rsidR="009A165F">
        <w:rPr>
          <w:rFonts w:ascii="Arial" w:hAnsi="Arial" w:cs="Arial"/>
          <w:bCs/>
          <w:color w:val="000000" w:themeColor="text1"/>
          <w:sz w:val="22"/>
          <w:szCs w:val="22"/>
        </w:rPr>
        <w:t xml:space="preserve"> </w:t>
      </w:r>
      <w:r w:rsidR="004F7C4C" w:rsidRPr="00161613">
        <w:rPr>
          <w:rFonts w:ascii="Arial" w:hAnsi="Arial" w:cs="Arial"/>
          <w:bCs/>
          <w:color w:val="000000" w:themeColor="text1"/>
          <w:sz w:val="22"/>
          <w:szCs w:val="22"/>
        </w:rPr>
        <w:t>reported th</w:t>
      </w:r>
      <w:r w:rsidR="002B2335" w:rsidRPr="00161613">
        <w:rPr>
          <w:rFonts w:ascii="Arial" w:hAnsi="Arial" w:cs="Arial"/>
          <w:bCs/>
          <w:color w:val="000000" w:themeColor="text1"/>
          <w:sz w:val="22"/>
          <w:szCs w:val="22"/>
        </w:rPr>
        <w:t>e following major accomplishments:</w:t>
      </w:r>
    </w:p>
    <w:p w:rsidR="002B2335" w:rsidRPr="0010656C" w:rsidRDefault="002B2335" w:rsidP="000202D9">
      <w:pPr>
        <w:ind w:left="450"/>
        <w:jc w:val="both"/>
        <w:rPr>
          <w:rFonts w:ascii="Arial" w:hAnsi="Arial" w:cs="Arial"/>
          <w:bCs/>
          <w:color w:val="FF0000"/>
          <w:sz w:val="22"/>
          <w:szCs w:val="22"/>
        </w:rPr>
      </w:pPr>
    </w:p>
    <w:p w:rsidR="002B2335" w:rsidRPr="00161613" w:rsidRDefault="002B2335" w:rsidP="000202D9">
      <w:pPr>
        <w:pStyle w:val="ListParagraph"/>
        <w:numPr>
          <w:ilvl w:val="0"/>
          <w:numId w:val="18"/>
        </w:numPr>
        <w:tabs>
          <w:tab w:val="left" w:pos="1620"/>
        </w:tabs>
        <w:spacing w:after="0" w:line="240" w:lineRule="auto"/>
        <w:ind w:firstLine="270"/>
        <w:jc w:val="both"/>
        <w:rPr>
          <w:rFonts w:ascii="Arial" w:hAnsi="Arial" w:cs="Arial"/>
          <w:bCs/>
          <w:color w:val="000000" w:themeColor="text1"/>
        </w:rPr>
      </w:pPr>
      <w:r w:rsidRPr="00161613">
        <w:rPr>
          <w:rFonts w:ascii="Arial" w:hAnsi="Arial" w:cs="Arial"/>
          <w:bCs/>
          <w:color w:val="000000" w:themeColor="text1"/>
        </w:rPr>
        <w:t>Completion of  energization</w:t>
      </w:r>
      <w:r w:rsidR="009A165F">
        <w:rPr>
          <w:rFonts w:ascii="Arial" w:hAnsi="Arial" w:cs="Arial"/>
          <w:bCs/>
          <w:color w:val="000000" w:themeColor="text1"/>
        </w:rPr>
        <w:t xml:space="preserve"> </w:t>
      </w:r>
      <w:r w:rsidRPr="00161613">
        <w:rPr>
          <w:rFonts w:ascii="Arial" w:hAnsi="Arial" w:cs="Arial"/>
          <w:bCs/>
          <w:color w:val="000000" w:themeColor="text1"/>
        </w:rPr>
        <w:t xml:space="preserve">of </w:t>
      </w:r>
      <w:r w:rsidR="00161613" w:rsidRPr="00161613">
        <w:rPr>
          <w:rFonts w:ascii="Arial" w:hAnsi="Arial" w:cs="Arial"/>
          <w:bCs/>
          <w:color w:val="000000" w:themeColor="text1"/>
        </w:rPr>
        <w:t>7,567</w:t>
      </w:r>
      <w:r w:rsidR="00E33268">
        <w:rPr>
          <w:rFonts w:ascii="Arial" w:hAnsi="Arial" w:cs="Arial"/>
          <w:bCs/>
          <w:color w:val="000000" w:themeColor="text1"/>
        </w:rPr>
        <w:t xml:space="preserve"> </w:t>
      </w:r>
      <w:r w:rsidR="004F7C4C" w:rsidRPr="00161613">
        <w:rPr>
          <w:rFonts w:ascii="Arial" w:hAnsi="Arial" w:cs="Arial"/>
          <w:bCs/>
          <w:color w:val="000000" w:themeColor="text1"/>
        </w:rPr>
        <w:t>sitios ou</w:t>
      </w:r>
      <w:r w:rsidRPr="00161613">
        <w:rPr>
          <w:rFonts w:ascii="Arial" w:hAnsi="Arial" w:cs="Arial"/>
          <w:bCs/>
          <w:color w:val="000000" w:themeColor="text1"/>
        </w:rPr>
        <w:t xml:space="preserve">t of its target of </w:t>
      </w:r>
      <w:r w:rsidR="00161613" w:rsidRPr="00161613">
        <w:rPr>
          <w:rFonts w:ascii="Arial" w:hAnsi="Arial" w:cs="Arial"/>
          <w:bCs/>
          <w:color w:val="000000" w:themeColor="text1"/>
        </w:rPr>
        <w:t>7,073</w:t>
      </w:r>
      <w:r w:rsidR="00E33268">
        <w:rPr>
          <w:rFonts w:ascii="Arial" w:hAnsi="Arial" w:cs="Arial"/>
          <w:bCs/>
          <w:color w:val="000000" w:themeColor="text1"/>
        </w:rPr>
        <w:t xml:space="preserve"> </w:t>
      </w:r>
      <w:r w:rsidRPr="00161613">
        <w:rPr>
          <w:rFonts w:ascii="Arial" w:hAnsi="Arial" w:cs="Arial"/>
          <w:bCs/>
          <w:color w:val="000000" w:themeColor="text1"/>
        </w:rPr>
        <w:t>sitios;</w:t>
      </w:r>
    </w:p>
    <w:p w:rsidR="00F72561" w:rsidRPr="00127B48" w:rsidRDefault="00F72561" w:rsidP="000202D9">
      <w:pPr>
        <w:pStyle w:val="ListParagraph"/>
        <w:tabs>
          <w:tab w:val="left" w:pos="1620"/>
        </w:tabs>
        <w:spacing w:after="0" w:line="240" w:lineRule="auto"/>
        <w:ind w:left="1080"/>
        <w:jc w:val="both"/>
        <w:rPr>
          <w:rFonts w:ascii="Arial" w:hAnsi="Arial" w:cs="Arial"/>
          <w:bCs/>
          <w:color w:val="000000" w:themeColor="text1"/>
        </w:rPr>
      </w:pPr>
    </w:p>
    <w:p w:rsidR="002B2335" w:rsidRPr="00127B48" w:rsidRDefault="00A25CDA" w:rsidP="00A25CDA">
      <w:pPr>
        <w:pStyle w:val="ListParagraph"/>
        <w:numPr>
          <w:ilvl w:val="0"/>
          <w:numId w:val="18"/>
        </w:numPr>
        <w:tabs>
          <w:tab w:val="left" w:pos="1620"/>
        </w:tabs>
        <w:spacing w:after="0" w:line="240" w:lineRule="auto"/>
        <w:ind w:left="1620" w:hanging="540"/>
        <w:jc w:val="both"/>
        <w:rPr>
          <w:rFonts w:ascii="Arial" w:hAnsi="Arial" w:cs="Arial"/>
          <w:bCs/>
          <w:color w:val="000000" w:themeColor="text1"/>
        </w:rPr>
      </w:pPr>
      <w:r w:rsidRPr="00127B48">
        <w:rPr>
          <w:rFonts w:ascii="Arial" w:hAnsi="Arial" w:cs="Arial"/>
          <w:bCs/>
          <w:color w:val="000000" w:themeColor="text1"/>
        </w:rPr>
        <w:t xml:space="preserve">Calamity loans (from Typhoons Santi, Glenda and Yolanda) constitute 31 out of the total 84 granted financial assistance packages to 67 EC borrowers. In peso value released calamity loans amounted to </w:t>
      </w:r>
      <w:r w:rsidR="00E33268">
        <w:rPr>
          <w:rFonts w:ascii="Arial" w:hAnsi="Arial" w:cs="Arial"/>
        </w:rPr>
        <w:t>₱</w:t>
      </w:r>
      <w:r w:rsidRPr="00127B48">
        <w:rPr>
          <w:rFonts w:ascii="Arial" w:hAnsi="Arial" w:cs="Arial"/>
          <w:bCs/>
          <w:color w:val="000000" w:themeColor="text1"/>
        </w:rPr>
        <w:t xml:space="preserve">829 million out of which, </w:t>
      </w:r>
      <w:r w:rsidR="00E33268">
        <w:rPr>
          <w:rFonts w:ascii="Arial" w:hAnsi="Arial" w:cs="Arial"/>
        </w:rPr>
        <w:t>₱</w:t>
      </w:r>
      <w:r w:rsidRPr="00127B48">
        <w:rPr>
          <w:rFonts w:ascii="Arial" w:hAnsi="Arial" w:cs="Arial"/>
          <w:bCs/>
          <w:color w:val="000000" w:themeColor="text1"/>
        </w:rPr>
        <w:t>289 million will be converted into subsidy for 13 ECs</w:t>
      </w:r>
      <w:r w:rsidR="002B2335" w:rsidRPr="00127B48">
        <w:rPr>
          <w:rFonts w:ascii="Arial" w:hAnsi="Arial" w:cs="Arial"/>
          <w:bCs/>
          <w:color w:val="000000" w:themeColor="text1"/>
        </w:rPr>
        <w:t>;</w:t>
      </w:r>
      <w:r w:rsidR="00F72561" w:rsidRPr="00127B48">
        <w:rPr>
          <w:rFonts w:ascii="Arial" w:hAnsi="Arial" w:cs="Arial"/>
          <w:bCs/>
          <w:color w:val="000000" w:themeColor="text1"/>
        </w:rPr>
        <w:t xml:space="preserve"> and</w:t>
      </w:r>
    </w:p>
    <w:p w:rsidR="00F72561" w:rsidRPr="00127B48" w:rsidRDefault="00F72561" w:rsidP="000202D9">
      <w:pPr>
        <w:pStyle w:val="ListParagraph"/>
        <w:tabs>
          <w:tab w:val="left" w:pos="1620"/>
        </w:tabs>
        <w:spacing w:after="0" w:line="240" w:lineRule="auto"/>
        <w:ind w:left="1080"/>
        <w:jc w:val="both"/>
        <w:rPr>
          <w:rFonts w:ascii="Arial" w:hAnsi="Arial" w:cs="Arial"/>
          <w:bCs/>
          <w:color w:val="000000" w:themeColor="text1"/>
        </w:rPr>
      </w:pPr>
    </w:p>
    <w:p w:rsidR="005E2C1D" w:rsidRPr="00127B48" w:rsidRDefault="003E4C5F" w:rsidP="000202D9">
      <w:pPr>
        <w:pStyle w:val="ListParagraph"/>
        <w:numPr>
          <w:ilvl w:val="0"/>
          <w:numId w:val="18"/>
        </w:numPr>
        <w:tabs>
          <w:tab w:val="left" w:pos="1620"/>
        </w:tabs>
        <w:spacing w:after="0" w:line="240" w:lineRule="auto"/>
        <w:ind w:left="1620" w:hanging="540"/>
        <w:jc w:val="both"/>
        <w:rPr>
          <w:rFonts w:ascii="Arial" w:hAnsi="Arial" w:cs="Arial"/>
          <w:bCs/>
          <w:color w:val="000000" w:themeColor="text1"/>
        </w:rPr>
      </w:pPr>
      <w:r>
        <w:rPr>
          <w:rFonts w:ascii="Arial" w:hAnsi="Arial" w:cs="Arial"/>
          <w:bCs/>
          <w:color w:val="000000" w:themeColor="text1"/>
        </w:rPr>
        <w:t>The agency initiated Task Force Kapatid, composed of 1,172 engineers and linemen from 70 volunteer ECs and 11 private organizations, was able to restore power to 33 Typhoon Yolanda-affected ECs covering 341 municipalities and 7,052 barangays benefiting 1.45 million member-consumers</w:t>
      </w:r>
      <w:r w:rsidR="000A766C" w:rsidRPr="00127B48">
        <w:rPr>
          <w:rFonts w:ascii="Arial" w:hAnsi="Arial" w:cs="Arial"/>
          <w:bCs/>
          <w:color w:val="000000" w:themeColor="text1"/>
        </w:rPr>
        <w:t>.</w:t>
      </w:r>
    </w:p>
    <w:p w:rsidR="005E2C1D" w:rsidRPr="00AC79F4" w:rsidRDefault="005E2C1D" w:rsidP="00AC79F4">
      <w:pPr>
        <w:rPr>
          <w:rFonts w:ascii="Arial" w:hAnsi="Arial" w:cs="Arial"/>
          <w:bCs/>
          <w:color w:val="FF0000"/>
        </w:rPr>
      </w:pPr>
    </w:p>
    <w:p w:rsidR="00386AE1" w:rsidRPr="009A4803" w:rsidRDefault="00386AE1" w:rsidP="000202D9">
      <w:pPr>
        <w:jc w:val="both"/>
        <w:rPr>
          <w:rFonts w:ascii="Arial" w:hAnsi="Arial" w:cs="Arial"/>
          <w:sz w:val="22"/>
          <w:szCs w:val="22"/>
        </w:rPr>
      </w:pPr>
    </w:p>
    <w:p w:rsidR="00510B4B" w:rsidRPr="009A4803" w:rsidRDefault="00510B4B" w:rsidP="000202D9">
      <w:pPr>
        <w:pStyle w:val="ListParagraph"/>
        <w:numPr>
          <w:ilvl w:val="0"/>
          <w:numId w:val="11"/>
        </w:numPr>
        <w:spacing w:after="0" w:line="240" w:lineRule="auto"/>
        <w:ind w:left="450" w:hanging="450"/>
        <w:jc w:val="both"/>
        <w:rPr>
          <w:rFonts w:ascii="Arial" w:hAnsi="Arial" w:cs="Arial"/>
          <w:b/>
        </w:rPr>
      </w:pPr>
      <w:r w:rsidRPr="009A4803">
        <w:rPr>
          <w:rFonts w:ascii="Arial" w:hAnsi="Arial" w:cs="Arial"/>
          <w:b/>
        </w:rPr>
        <w:t>Auditor’s Opinion</w:t>
      </w:r>
    </w:p>
    <w:p w:rsidR="00510B4B" w:rsidRPr="009A4803" w:rsidRDefault="00510B4B" w:rsidP="000202D9">
      <w:pPr>
        <w:ind w:left="450"/>
        <w:jc w:val="both"/>
        <w:rPr>
          <w:rFonts w:ascii="Arial" w:hAnsi="Arial" w:cs="Arial"/>
          <w:sz w:val="22"/>
          <w:szCs w:val="22"/>
        </w:rPr>
      </w:pPr>
    </w:p>
    <w:p w:rsidR="00510B4B" w:rsidRPr="009A4803" w:rsidRDefault="00510B4B" w:rsidP="000202D9">
      <w:pPr>
        <w:ind w:left="450"/>
        <w:jc w:val="both"/>
        <w:rPr>
          <w:rFonts w:ascii="Arial" w:hAnsi="Arial" w:cs="Arial"/>
          <w:sz w:val="22"/>
          <w:szCs w:val="22"/>
        </w:rPr>
      </w:pPr>
      <w:r w:rsidRPr="009A4803">
        <w:rPr>
          <w:rFonts w:ascii="Arial" w:hAnsi="Arial" w:cs="Arial"/>
          <w:sz w:val="22"/>
          <w:szCs w:val="22"/>
        </w:rPr>
        <w:t>The Auditor rendered an unqualified opinion on the fairness of the presentation of the financial statements of</w:t>
      </w:r>
      <w:r w:rsidR="00584345" w:rsidRPr="009A4803">
        <w:rPr>
          <w:rFonts w:ascii="Arial" w:hAnsi="Arial" w:cs="Arial"/>
          <w:sz w:val="22"/>
          <w:szCs w:val="22"/>
        </w:rPr>
        <w:t xml:space="preserve"> the NEA as at December 31, 2014</w:t>
      </w:r>
      <w:r w:rsidRPr="009A4803">
        <w:rPr>
          <w:rFonts w:ascii="Arial" w:hAnsi="Arial" w:cs="Arial"/>
          <w:sz w:val="22"/>
          <w:szCs w:val="22"/>
        </w:rPr>
        <w:t xml:space="preserve"> as stated in the Independent Auditor’s Report in Part I.</w:t>
      </w:r>
    </w:p>
    <w:p w:rsidR="00510B4B" w:rsidRDefault="00510B4B" w:rsidP="000202D9">
      <w:pPr>
        <w:contextualSpacing/>
        <w:jc w:val="both"/>
        <w:rPr>
          <w:rFonts w:ascii="Arial" w:hAnsi="Arial" w:cs="Arial"/>
          <w:sz w:val="22"/>
          <w:szCs w:val="22"/>
        </w:rPr>
      </w:pPr>
    </w:p>
    <w:p w:rsidR="00851856" w:rsidRPr="000202D9" w:rsidRDefault="00851856" w:rsidP="000202D9">
      <w:pPr>
        <w:contextualSpacing/>
        <w:jc w:val="both"/>
        <w:rPr>
          <w:rFonts w:ascii="Arial" w:hAnsi="Arial" w:cs="Arial"/>
          <w:sz w:val="22"/>
          <w:szCs w:val="22"/>
        </w:rPr>
      </w:pPr>
    </w:p>
    <w:p w:rsidR="00B41E8B" w:rsidRPr="000202D9" w:rsidRDefault="00016478" w:rsidP="000202D9">
      <w:pPr>
        <w:pStyle w:val="ListParagraph"/>
        <w:numPr>
          <w:ilvl w:val="0"/>
          <w:numId w:val="11"/>
        </w:numPr>
        <w:spacing w:after="0" w:line="240" w:lineRule="auto"/>
        <w:ind w:left="450" w:hanging="450"/>
        <w:jc w:val="both"/>
        <w:rPr>
          <w:rFonts w:ascii="Arial" w:hAnsi="Arial" w:cs="Arial"/>
          <w:b/>
        </w:rPr>
      </w:pPr>
      <w:r w:rsidRPr="000202D9">
        <w:rPr>
          <w:rFonts w:ascii="Arial" w:hAnsi="Arial" w:cs="Arial"/>
          <w:b/>
        </w:rPr>
        <w:t>Summary of Significant Audit Observations and Recommendations</w:t>
      </w:r>
    </w:p>
    <w:p w:rsidR="002E69CF" w:rsidRPr="000202D9" w:rsidRDefault="002E69CF" w:rsidP="000202D9">
      <w:pPr>
        <w:contextualSpacing/>
        <w:jc w:val="both"/>
        <w:rPr>
          <w:rFonts w:ascii="Arial" w:hAnsi="Arial" w:cs="Arial"/>
          <w:b/>
          <w:sz w:val="22"/>
          <w:szCs w:val="22"/>
        </w:rPr>
      </w:pPr>
    </w:p>
    <w:p w:rsidR="002E69CF" w:rsidRDefault="002E69CF" w:rsidP="000202D9">
      <w:pPr>
        <w:pStyle w:val="NoSpacing"/>
        <w:ind w:left="450"/>
        <w:jc w:val="both"/>
        <w:rPr>
          <w:rFonts w:ascii="Arial" w:hAnsi="Arial" w:cs="Arial"/>
        </w:rPr>
      </w:pPr>
      <w:r w:rsidRPr="009A4803">
        <w:rPr>
          <w:rFonts w:ascii="Arial" w:hAnsi="Arial" w:cs="Arial"/>
        </w:rPr>
        <w:t>Although the Auditor rendered an unqualified opinion, there are significant audit observations that need immediate action.  These, together with the audit recommendations, are presented below.  Details are in Part II.</w:t>
      </w:r>
    </w:p>
    <w:p w:rsidR="00B93C7C" w:rsidRDefault="00B93C7C" w:rsidP="000202D9">
      <w:pPr>
        <w:pStyle w:val="NoSpacing"/>
        <w:ind w:left="450"/>
        <w:jc w:val="both"/>
        <w:rPr>
          <w:rFonts w:ascii="Arial" w:hAnsi="Arial" w:cs="Arial"/>
        </w:rPr>
      </w:pPr>
    </w:p>
    <w:p w:rsidR="00B93C7C" w:rsidRPr="009A4803" w:rsidRDefault="00B93C7C" w:rsidP="00B93C7C">
      <w:pPr>
        <w:pStyle w:val="ListParagraph"/>
        <w:numPr>
          <w:ilvl w:val="0"/>
          <w:numId w:val="10"/>
        </w:numPr>
        <w:spacing w:after="0" w:line="240" w:lineRule="auto"/>
        <w:jc w:val="both"/>
        <w:rPr>
          <w:rFonts w:ascii="Arial" w:hAnsi="Arial" w:cs="Arial"/>
        </w:rPr>
      </w:pPr>
      <w:r w:rsidRPr="00D302A8">
        <w:rPr>
          <w:rFonts w:ascii="Arial" w:hAnsi="Arial" w:cs="Arial"/>
        </w:rPr>
        <w:t>Observations on the audit of Loans Receivable account</w:t>
      </w:r>
      <w:r>
        <w:rPr>
          <w:rFonts w:ascii="Arial" w:hAnsi="Arial" w:cs="Arial"/>
        </w:rPr>
        <w:t>.</w:t>
      </w:r>
    </w:p>
    <w:p w:rsidR="00B93C7C" w:rsidRPr="009A4803" w:rsidRDefault="00B93C7C" w:rsidP="00B93C7C">
      <w:pPr>
        <w:pStyle w:val="ListParagraph"/>
        <w:spacing w:after="0" w:line="240" w:lineRule="auto"/>
        <w:ind w:left="1267"/>
        <w:jc w:val="both"/>
        <w:rPr>
          <w:rFonts w:ascii="Arial" w:hAnsi="Arial" w:cs="Arial"/>
        </w:rPr>
      </w:pPr>
    </w:p>
    <w:p w:rsidR="00B93C7C" w:rsidRPr="00A10528" w:rsidRDefault="00A10528" w:rsidP="00B93C7C">
      <w:pPr>
        <w:pStyle w:val="NoSpacing"/>
        <w:numPr>
          <w:ilvl w:val="1"/>
          <w:numId w:val="10"/>
        </w:numPr>
        <w:ind w:left="2304" w:hanging="432"/>
        <w:jc w:val="both"/>
        <w:rPr>
          <w:rFonts w:ascii="Arial" w:hAnsi="Arial" w:cs="Arial"/>
          <w:bCs/>
          <w:lang w:val="en-US"/>
        </w:rPr>
      </w:pPr>
      <w:r w:rsidRPr="00A10528">
        <w:rPr>
          <w:rFonts w:ascii="Arial" w:hAnsi="Arial" w:cs="Arial"/>
          <w:bCs/>
          <w:lang w:val="en-US"/>
        </w:rPr>
        <w:t>Of the ₱8.347 billion balance of the Loan Receivable account, the amount of P1.576 billion which represents 18%</w:t>
      </w:r>
      <w:r>
        <w:rPr>
          <w:rFonts w:ascii="Arial" w:hAnsi="Arial" w:cs="Arial"/>
          <w:bCs/>
          <w:lang w:val="en-US"/>
        </w:rPr>
        <w:t>, disclosed a variance of</w:t>
      </w:r>
      <w:r w:rsidRPr="00A10528">
        <w:rPr>
          <w:rFonts w:ascii="Arial" w:hAnsi="Arial" w:cs="Arial"/>
          <w:bCs/>
          <w:lang w:val="en-US"/>
        </w:rPr>
        <w:t xml:space="preserve"> P167.155 million compared with the results of confirmation from 13 electric cooperatives aggregating ₱1.410 billion</w:t>
      </w:r>
      <w:r w:rsidR="00B93C7C" w:rsidRPr="00A10528">
        <w:rPr>
          <w:rFonts w:ascii="Arial" w:hAnsi="Arial" w:cs="Arial"/>
          <w:bCs/>
          <w:lang w:val="en-US"/>
        </w:rPr>
        <w:t>.</w:t>
      </w:r>
    </w:p>
    <w:p w:rsidR="00B93C7C" w:rsidRPr="005C4A13" w:rsidRDefault="00B93C7C" w:rsidP="00B93C7C">
      <w:pPr>
        <w:pStyle w:val="NoSpacing"/>
        <w:ind w:left="1800"/>
        <w:jc w:val="both"/>
        <w:rPr>
          <w:rFonts w:ascii="Arial" w:hAnsi="Arial" w:cs="Arial"/>
          <w:sz w:val="20"/>
        </w:rPr>
      </w:pPr>
    </w:p>
    <w:p w:rsidR="00B93C7C" w:rsidRPr="00B93C7C" w:rsidRDefault="00B93C7C" w:rsidP="00B93C7C">
      <w:pPr>
        <w:pStyle w:val="NoSpacing"/>
        <w:numPr>
          <w:ilvl w:val="1"/>
          <w:numId w:val="10"/>
        </w:numPr>
        <w:ind w:left="2304" w:hanging="432"/>
        <w:jc w:val="both"/>
        <w:rPr>
          <w:rFonts w:ascii="Arial" w:hAnsi="Arial" w:cs="Arial"/>
        </w:rPr>
      </w:pPr>
      <w:r w:rsidRPr="00B93C7C">
        <w:rPr>
          <w:rFonts w:ascii="Arial" w:hAnsi="Arial" w:cs="Arial"/>
          <w:bCs/>
          <w:lang w:val="en-US"/>
        </w:rPr>
        <w:t xml:space="preserve">Management provided an allowance for doubtful accounts or impairment of only </w:t>
      </w:r>
      <w:r w:rsidR="00E33268">
        <w:rPr>
          <w:rFonts w:ascii="Arial" w:hAnsi="Arial" w:cs="Arial"/>
        </w:rPr>
        <w:t>₱</w:t>
      </w:r>
      <w:r w:rsidR="00E33268">
        <w:rPr>
          <w:rFonts w:ascii="Arial" w:hAnsi="Arial" w:cs="Arial"/>
          <w:bCs/>
          <w:lang w:val="en-US"/>
        </w:rPr>
        <w:t>2,443,634</w:t>
      </w:r>
      <w:r w:rsidRPr="00B93C7C">
        <w:rPr>
          <w:rFonts w:ascii="Arial" w:hAnsi="Arial" w:cs="Arial"/>
          <w:bCs/>
          <w:lang w:val="en-US"/>
        </w:rPr>
        <w:t xml:space="preserve"> for the year on outstanding loan arrears totaling </w:t>
      </w:r>
      <w:r w:rsidR="00E33268">
        <w:rPr>
          <w:rFonts w:ascii="Arial" w:hAnsi="Arial" w:cs="Arial"/>
        </w:rPr>
        <w:t>₱</w:t>
      </w:r>
      <w:r w:rsidR="00E33268">
        <w:rPr>
          <w:rFonts w:ascii="Arial" w:hAnsi="Arial" w:cs="Arial"/>
          <w:bCs/>
          <w:lang w:val="en-US"/>
        </w:rPr>
        <w:t>244,363,419</w:t>
      </w:r>
      <w:r w:rsidRPr="00B93C7C">
        <w:rPr>
          <w:rFonts w:ascii="Arial" w:hAnsi="Arial" w:cs="Arial"/>
          <w:bCs/>
          <w:lang w:val="en-US"/>
        </w:rPr>
        <w:t xml:space="preserve"> due to its current policy of recognizing provisions of only one percent of the estimated uncollectible receivable as of year-end. However, analysis of the Aging of Receivable as of December 31, 2014 revealed that the average period of arrears of the outstanding loan receivables are between 3 months to 30 years.</w:t>
      </w:r>
    </w:p>
    <w:p w:rsidR="00B93C7C" w:rsidRPr="005C4A13" w:rsidRDefault="00B93C7C" w:rsidP="00B93C7C">
      <w:pPr>
        <w:rPr>
          <w:rFonts w:ascii="Arial" w:hAnsi="Arial" w:cs="Arial"/>
          <w:sz w:val="18"/>
        </w:rPr>
      </w:pPr>
    </w:p>
    <w:p w:rsidR="00B93C7C" w:rsidRPr="000202D9" w:rsidRDefault="008648D3" w:rsidP="002B571C">
      <w:pPr>
        <w:ind w:left="1260"/>
        <w:jc w:val="both"/>
        <w:rPr>
          <w:rFonts w:ascii="Arial" w:hAnsi="Arial" w:cs="Arial"/>
          <w:i/>
          <w:sz w:val="22"/>
          <w:szCs w:val="22"/>
        </w:rPr>
      </w:pPr>
      <w:r>
        <w:rPr>
          <w:rFonts w:ascii="Arial" w:hAnsi="Arial" w:cs="Arial"/>
          <w:i/>
          <w:sz w:val="22"/>
          <w:szCs w:val="22"/>
        </w:rPr>
        <w:t>Recommendations:</w:t>
      </w:r>
    </w:p>
    <w:p w:rsidR="00B93C7C" w:rsidRPr="005C4A13" w:rsidRDefault="00B93C7C" w:rsidP="00B93C7C">
      <w:pPr>
        <w:pStyle w:val="ListParagraph"/>
        <w:spacing w:after="0" w:line="240" w:lineRule="auto"/>
        <w:ind w:left="1440"/>
        <w:jc w:val="both"/>
        <w:rPr>
          <w:rFonts w:ascii="Arial" w:hAnsi="Arial" w:cs="Arial"/>
          <w:sz w:val="20"/>
        </w:rPr>
      </w:pPr>
    </w:p>
    <w:p w:rsidR="00B93C7C" w:rsidRPr="000202D9" w:rsidRDefault="00213DE5" w:rsidP="00213DE5">
      <w:pPr>
        <w:pStyle w:val="ListParagraph"/>
        <w:numPr>
          <w:ilvl w:val="0"/>
          <w:numId w:val="5"/>
        </w:numPr>
        <w:spacing w:after="0" w:line="240" w:lineRule="auto"/>
        <w:ind w:left="2304" w:hanging="432"/>
        <w:jc w:val="both"/>
        <w:rPr>
          <w:rFonts w:ascii="Arial" w:hAnsi="Arial" w:cs="Arial"/>
          <w:i/>
        </w:rPr>
      </w:pPr>
      <w:r>
        <w:rPr>
          <w:rFonts w:ascii="Arial" w:hAnsi="Arial" w:cs="Arial"/>
          <w:i/>
          <w:lang w:val="en-US"/>
        </w:rPr>
        <w:t>A</w:t>
      </w:r>
      <w:r w:rsidR="00B93C7C" w:rsidRPr="00255734">
        <w:rPr>
          <w:rFonts w:ascii="Arial" w:hAnsi="Arial" w:cs="Arial"/>
          <w:i/>
          <w:lang w:val="en-US"/>
        </w:rPr>
        <w:t>nalyze all possible cause/s of the variance between per book balance and the confirmation replies and to reconcile the same immediately to determine their actual balance as of reporting date</w:t>
      </w:r>
      <w:r w:rsidR="00B93C7C">
        <w:rPr>
          <w:rFonts w:ascii="Arial" w:hAnsi="Arial" w:cs="Arial"/>
          <w:i/>
        </w:rPr>
        <w:t>; and</w:t>
      </w:r>
    </w:p>
    <w:p w:rsidR="00B93C7C" w:rsidRPr="005C4A13" w:rsidRDefault="00B93C7C" w:rsidP="00B93C7C">
      <w:pPr>
        <w:pStyle w:val="ListParagraph"/>
        <w:tabs>
          <w:tab w:val="left" w:pos="2250"/>
        </w:tabs>
        <w:spacing w:after="0" w:line="240" w:lineRule="auto"/>
        <w:ind w:left="2250"/>
        <w:jc w:val="both"/>
        <w:rPr>
          <w:rFonts w:ascii="Arial" w:hAnsi="Arial" w:cs="Arial"/>
          <w:i/>
          <w:sz w:val="20"/>
        </w:rPr>
      </w:pPr>
    </w:p>
    <w:p w:rsidR="00B93C7C" w:rsidRPr="00093940" w:rsidRDefault="00213DE5" w:rsidP="00213DE5">
      <w:pPr>
        <w:pStyle w:val="ListParagraph"/>
        <w:numPr>
          <w:ilvl w:val="0"/>
          <w:numId w:val="5"/>
        </w:numPr>
        <w:spacing w:after="0" w:line="240" w:lineRule="auto"/>
        <w:ind w:left="2304" w:hanging="432"/>
        <w:jc w:val="both"/>
        <w:rPr>
          <w:rFonts w:ascii="Arial" w:hAnsi="Arial" w:cs="Arial"/>
        </w:rPr>
      </w:pPr>
      <w:r>
        <w:rPr>
          <w:rFonts w:ascii="Arial" w:hAnsi="Arial" w:cs="Arial"/>
          <w:i/>
          <w:lang w:val="en-US"/>
        </w:rPr>
        <w:t>Re</w:t>
      </w:r>
      <w:r w:rsidR="00B93C7C" w:rsidRPr="00255734">
        <w:rPr>
          <w:rFonts w:ascii="Arial" w:hAnsi="Arial" w:cs="Arial"/>
          <w:i/>
          <w:lang w:val="en-US"/>
        </w:rPr>
        <w:t>visit its existing policy in the computation of the allowance for doubtful accounts or impairment and consider adopting scalar rates to present the receivable accounts to its net realizable value at year end.</w:t>
      </w:r>
    </w:p>
    <w:p w:rsidR="00093940" w:rsidRPr="005C4A13" w:rsidRDefault="00093940" w:rsidP="00131BA9">
      <w:pPr>
        <w:rPr>
          <w:rFonts w:ascii="Arial" w:hAnsi="Arial" w:cs="Arial"/>
          <w:sz w:val="18"/>
        </w:rPr>
      </w:pPr>
    </w:p>
    <w:p w:rsidR="00093940" w:rsidRPr="005C4A13" w:rsidRDefault="00093940" w:rsidP="00093940">
      <w:pPr>
        <w:pStyle w:val="ListParagraph"/>
        <w:tabs>
          <w:tab w:val="left" w:pos="2520"/>
        </w:tabs>
        <w:spacing w:after="0" w:line="240" w:lineRule="auto"/>
        <w:ind w:left="2304"/>
        <w:jc w:val="both"/>
        <w:rPr>
          <w:rFonts w:ascii="Arial" w:hAnsi="Arial" w:cs="Arial"/>
          <w:sz w:val="20"/>
        </w:rPr>
      </w:pPr>
    </w:p>
    <w:p w:rsidR="00B93C7C" w:rsidRPr="00131BA9" w:rsidRDefault="00093940" w:rsidP="000202D9">
      <w:pPr>
        <w:pStyle w:val="ListParagraph"/>
        <w:numPr>
          <w:ilvl w:val="0"/>
          <w:numId w:val="10"/>
        </w:numPr>
        <w:spacing w:after="0" w:line="240" w:lineRule="auto"/>
        <w:jc w:val="both"/>
        <w:rPr>
          <w:rFonts w:ascii="Arial" w:hAnsi="Arial" w:cs="Arial"/>
        </w:rPr>
      </w:pPr>
      <w:r w:rsidRPr="00093940">
        <w:rPr>
          <w:rFonts w:ascii="Arial" w:hAnsi="Arial" w:cs="Arial"/>
          <w:bCs/>
          <w:lang w:val="en-US"/>
        </w:rPr>
        <w:t>Payments of CNA Signing Incentive, Anniversary Incentive and PRAISE Incentive to NEA officials and employees totaling</w:t>
      </w:r>
      <w:r w:rsidR="00A725BA">
        <w:rPr>
          <w:rFonts w:ascii="Arial" w:hAnsi="Arial" w:cs="Arial"/>
          <w:bCs/>
          <w:lang w:val="en-US"/>
        </w:rPr>
        <w:t xml:space="preserve"> </w:t>
      </w:r>
      <w:r w:rsidR="00E33268">
        <w:rPr>
          <w:rFonts w:ascii="Arial" w:hAnsi="Arial" w:cs="Arial"/>
        </w:rPr>
        <w:t>₱</w:t>
      </w:r>
      <w:r w:rsidRPr="00093940">
        <w:rPr>
          <w:rFonts w:ascii="Arial" w:hAnsi="Arial" w:cs="Arial"/>
          <w:bCs/>
          <w:lang w:val="en-US"/>
        </w:rPr>
        <w:t>20.563 million</w:t>
      </w:r>
      <w:r>
        <w:rPr>
          <w:rFonts w:ascii="Arial" w:hAnsi="Arial" w:cs="Arial"/>
          <w:bCs/>
          <w:lang w:val="en-US"/>
        </w:rPr>
        <w:t xml:space="preserve"> </w:t>
      </w:r>
      <w:r w:rsidRPr="00093940">
        <w:rPr>
          <w:rFonts w:ascii="Arial" w:hAnsi="Arial" w:cs="Arial"/>
          <w:bCs/>
          <w:lang w:val="en-US"/>
        </w:rPr>
        <w:t>were made</w:t>
      </w:r>
      <w:r>
        <w:rPr>
          <w:rFonts w:ascii="Arial" w:hAnsi="Arial" w:cs="Arial"/>
          <w:bCs/>
          <w:lang w:val="en-US"/>
        </w:rPr>
        <w:t xml:space="preserve"> </w:t>
      </w:r>
      <w:r w:rsidRPr="00093940">
        <w:rPr>
          <w:rFonts w:ascii="Arial" w:hAnsi="Arial" w:cs="Arial"/>
          <w:bCs/>
          <w:lang w:val="en-US"/>
        </w:rPr>
        <w:t>in CY 2014 without legal basis.</w:t>
      </w:r>
      <w:r w:rsidR="00131BA9">
        <w:rPr>
          <w:rFonts w:ascii="Arial" w:hAnsi="Arial" w:cs="Arial"/>
          <w:bCs/>
          <w:lang w:val="en-US"/>
        </w:rPr>
        <w:t xml:space="preserve"> </w:t>
      </w:r>
      <w:r w:rsidR="00131BA9">
        <w:rPr>
          <w:rFonts w:ascii="Arial" w:hAnsi="Arial" w:cs="Arial"/>
          <w:bCs/>
        </w:rPr>
        <w:t xml:space="preserve">For the year, NEA granted the following </w:t>
      </w:r>
      <w:r w:rsidR="00131BA9" w:rsidRPr="00BE32B8">
        <w:rPr>
          <w:rFonts w:ascii="Arial" w:hAnsi="Arial" w:cs="Arial"/>
          <w:bCs/>
        </w:rPr>
        <w:t>i</w:t>
      </w:r>
      <w:r w:rsidR="00131BA9">
        <w:rPr>
          <w:rFonts w:ascii="Arial" w:hAnsi="Arial" w:cs="Arial"/>
          <w:bCs/>
        </w:rPr>
        <w:t>ncentives to its personnel:</w:t>
      </w:r>
    </w:p>
    <w:p w:rsidR="00093940" w:rsidRPr="005C4A13" w:rsidRDefault="00093940" w:rsidP="005C4A13">
      <w:pPr>
        <w:jc w:val="both"/>
        <w:rPr>
          <w:rFonts w:ascii="Arial" w:hAnsi="Arial" w:cs="Arial"/>
          <w:bCs/>
          <w:sz w:val="18"/>
        </w:rPr>
      </w:pPr>
    </w:p>
    <w:tbl>
      <w:tblPr>
        <w:tblStyle w:val="TableGrid"/>
        <w:tblW w:w="0" w:type="auto"/>
        <w:tblInd w:w="2448" w:type="dxa"/>
        <w:tblLook w:val="04A0" w:firstRow="1" w:lastRow="0" w:firstColumn="1" w:lastColumn="0" w:noHBand="0" w:noVBand="1"/>
      </w:tblPr>
      <w:tblGrid>
        <w:gridCol w:w="3060"/>
        <w:gridCol w:w="1980"/>
      </w:tblGrid>
      <w:tr w:rsidR="00093940" w:rsidRPr="008648D3" w:rsidTr="002B6FAF">
        <w:trPr>
          <w:tblHeader/>
        </w:trPr>
        <w:tc>
          <w:tcPr>
            <w:tcW w:w="3060" w:type="dxa"/>
            <w:shd w:val="clear" w:color="auto" w:fill="FDE9D9" w:themeFill="accent6" w:themeFillTint="33"/>
            <w:vAlign w:val="center"/>
          </w:tcPr>
          <w:p w:rsidR="00093940" w:rsidRPr="008648D3" w:rsidRDefault="00093940" w:rsidP="00093940">
            <w:pPr>
              <w:pStyle w:val="BodyText3"/>
              <w:spacing w:line="276" w:lineRule="auto"/>
              <w:jc w:val="center"/>
              <w:rPr>
                <w:rFonts w:ascii="Arial" w:hAnsi="Arial" w:cs="Arial"/>
                <w:b/>
                <w:bCs/>
                <w:i w:val="0"/>
                <w:sz w:val="20"/>
                <w:szCs w:val="20"/>
              </w:rPr>
            </w:pPr>
            <w:r w:rsidRPr="008648D3">
              <w:rPr>
                <w:rFonts w:ascii="Arial" w:hAnsi="Arial" w:cs="Arial"/>
                <w:b/>
                <w:bCs/>
                <w:i w:val="0"/>
                <w:sz w:val="20"/>
                <w:szCs w:val="20"/>
              </w:rPr>
              <w:t>Incentives</w:t>
            </w:r>
          </w:p>
        </w:tc>
        <w:tc>
          <w:tcPr>
            <w:tcW w:w="1980" w:type="dxa"/>
            <w:shd w:val="clear" w:color="auto" w:fill="FDE9D9" w:themeFill="accent6" w:themeFillTint="33"/>
            <w:vAlign w:val="center"/>
          </w:tcPr>
          <w:p w:rsidR="00093940" w:rsidRPr="008648D3" w:rsidRDefault="00093940" w:rsidP="00093940">
            <w:pPr>
              <w:pStyle w:val="BodyText3"/>
              <w:spacing w:line="276" w:lineRule="auto"/>
              <w:jc w:val="center"/>
              <w:rPr>
                <w:rFonts w:ascii="Arial" w:hAnsi="Arial" w:cs="Arial"/>
                <w:b/>
                <w:bCs/>
                <w:i w:val="0"/>
                <w:sz w:val="20"/>
                <w:szCs w:val="20"/>
              </w:rPr>
            </w:pPr>
            <w:r w:rsidRPr="008648D3">
              <w:rPr>
                <w:rFonts w:ascii="Arial" w:hAnsi="Arial" w:cs="Arial"/>
                <w:b/>
                <w:bCs/>
                <w:i w:val="0"/>
                <w:sz w:val="20"/>
                <w:szCs w:val="20"/>
              </w:rPr>
              <w:t>Amount</w:t>
            </w:r>
          </w:p>
        </w:tc>
      </w:tr>
      <w:tr w:rsidR="00093940" w:rsidRPr="00093940" w:rsidTr="00093940">
        <w:tc>
          <w:tcPr>
            <w:tcW w:w="3060" w:type="dxa"/>
            <w:vAlign w:val="center"/>
          </w:tcPr>
          <w:p w:rsidR="00093940" w:rsidRPr="00093940" w:rsidRDefault="00093940" w:rsidP="00093940">
            <w:pPr>
              <w:pStyle w:val="BodyText3"/>
              <w:spacing w:line="276" w:lineRule="auto"/>
              <w:jc w:val="left"/>
              <w:rPr>
                <w:rFonts w:ascii="Arial" w:hAnsi="Arial" w:cs="Arial"/>
                <w:bCs/>
                <w:i w:val="0"/>
                <w:sz w:val="20"/>
                <w:szCs w:val="20"/>
              </w:rPr>
            </w:pPr>
            <w:r w:rsidRPr="00093940">
              <w:rPr>
                <w:rFonts w:ascii="Arial" w:hAnsi="Arial" w:cs="Arial"/>
                <w:bCs/>
                <w:i w:val="0"/>
                <w:sz w:val="20"/>
                <w:szCs w:val="20"/>
              </w:rPr>
              <w:t>CNA Signing Incentive</w:t>
            </w:r>
          </w:p>
        </w:tc>
        <w:tc>
          <w:tcPr>
            <w:tcW w:w="1980" w:type="dxa"/>
            <w:vAlign w:val="center"/>
          </w:tcPr>
          <w:p w:rsidR="00093940" w:rsidRPr="00093940" w:rsidRDefault="00E33268" w:rsidP="00093940">
            <w:pPr>
              <w:pStyle w:val="BodyText3"/>
              <w:spacing w:line="276" w:lineRule="auto"/>
              <w:jc w:val="right"/>
              <w:rPr>
                <w:rFonts w:ascii="Arial" w:hAnsi="Arial" w:cs="Arial"/>
                <w:bCs/>
                <w:i w:val="0"/>
                <w:sz w:val="20"/>
                <w:szCs w:val="20"/>
              </w:rPr>
            </w:pPr>
            <w:r w:rsidRPr="00E33268">
              <w:rPr>
                <w:rFonts w:ascii="Arial" w:hAnsi="Arial" w:cs="Arial"/>
                <w:i w:val="0"/>
                <w:sz w:val="20"/>
                <w:szCs w:val="20"/>
              </w:rPr>
              <w:t>₱</w:t>
            </w:r>
            <w:r w:rsidR="00093940">
              <w:rPr>
                <w:rFonts w:ascii="Arial" w:hAnsi="Arial" w:cs="Arial"/>
                <w:i w:val="0"/>
                <w:sz w:val="20"/>
                <w:szCs w:val="20"/>
              </w:rPr>
              <w:t xml:space="preserve">  </w:t>
            </w:r>
            <w:r w:rsidR="00093940" w:rsidRPr="00093940">
              <w:rPr>
                <w:rFonts w:ascii="Arial" w:hAnsi="Arial" w:cs="Arial"/>
                <w:i w:val="0"/>
                <w:sz w:val="20"/>
                <w:szCs w:val="20"/>
              </w:rPr>
              <w:t>7,525,000</w:t>
            </w:r>
          </w:p>
        </w:tc>
      </w:tr>
      <w:tr w:rsidR="00093940" w:rsidRPr="00093940" w:rsidTr="00093940">
        <w:tc>
          <w:tcPr>
            <w:tcW w:w="3060" w:type="dxa"/>
            <w:vAlign w:val="center"/>
          </w:tcPr>
          <w:p w:rsidR="00093940" w:rsidRPr="00093940" w:rsidRDefault="00093940" w:rsidP="00093940">
            <w:pPr>
              <w:pStyle w:val="BodyText3"/>
              <w:spacing w:line="276" w:lineRule="auto"/>
              <w:jc w:val="left"/>
              <w:rPr>
                <w:rFonts w:ascii="Arial" w:hAnsi="Arial" w:cs="Arial"/>
                <w:bCs/>
                <w:i w:val="0"/>
                <w:sz w:val="20"/>
                <w:szCs w:val="20"/>
              </w:rPr>
            </w:pPr>
            <w:r w:rsidRPr="00093940">
              <w:rPr>
                <w:rFonts w:ascii="Arial" w:hAnsi="Arial" w:cs="Arial"/>
                <w:i w:val="0"/>
                <w:sz w:val="20"/>
                <w:szCs w:val="20"/>
              </w:rPr>
              <w:t>Anniversary Incentive</w:t>
            </w:r>
          </w:p>
        </w:tc>
        <w:tc>
          <w:tcPr>
            <w:tcW w:w="1980" w:type="dxa"/>
            <w:vAlign w:val="center"/>
          </w:tcPr>
          <w:p w:rsidR="00093940" w:rsidRPr="00093940" w:rsidRDefault="00093940" w:rsidP="00093940">
            <w:pPr>
              <w:pStyle w:val="BodyText3"/>
              <w:spacing w:line="276" w:lineRule="auto"/>
              <w:jc w:val="right"/>
              <w:rPr>
                <w:rFonts w:ascii="Arial" w:hAnsi="Arial" w:cs="Arial"/>
                <w:bCs/>
                <w:i w:val="0"/>
                <w:sz w:val="20"/>
                <w:szCs w:val="20"/>
              </w:rPr>
            </w:pPr>
            <w:r w:rsidRPr="00093940">
              <w:rPr>
                <w:rFonts w:ascii="Arial" w:hAnsi="Arial" w:cs="Arial"/>
                <w:i w:val="0"/>
                <w:sz w:val="20"/>
                <w:szCs w:val="20"/>
              </w:rPr>
              <w:t>5,783,48</w:t>
            </w:r>
            <w:r w:rsidR="002B571C">
              <w:rPr>
                <w:rFonts w:ascii="Arial" w:hAnsi="Arial" w:cs="Arial"/>
                <w:i w:val="0"/>
                <w:sz w:val="20"/>
                <w:szCs w:val="20"/>
              </w:rPr>
              <w:t>5</w:t>
            </w:r>
          </w:p>
        </w:tc>
      </w:tr>
      <w:tr w:rsidR="00093940" w:rsidRPr="00093940" w:rsidTr="00093940">
        <w:trPr>
          <w:trHeight w:val="242"/>
        </w:trPr>
        <w:tc>
          <w:tcPr>
            <w:tcW w:w="3060" w:type="dxa"/>
            <w:vAlign w:val="center"/>
          </w:tcPr>
          <w:p w:rsidR="00093940" w:rsidRPr="00093940" w:rsidRDefault="00093940" w:rsidP="00093940">
            <w:pPr>
              <w:pStyle w:val="BodyText3"/>
              <w:spacing w:line="276" w:lineRule="auto"/>
              <w:jc w:val="left"/>
              <w:rPr>
                <w:rFonts w:ascii="Arial" w:hAnsi="Arial" w:cs="Arial"/>
                <w:bCs/>
                <w:i w:val="0"/>
                <w:sz w:val="20"/>
                <w:szCs w:val="20"/>
              </w:rPr>
            </w:pPr>
            <w:r w:rsidRPr="00093940">
              <w:rPr>
                <w:rFonts w:ascii="Arial" w:hAnsi="Arial" w:cs="Arial"/>
                <w:bCs/>
                <w:i w:val="0"/>
                <w:sz w:val="20"/>
                <w:szCs w:val="20"/>
              </w:rPr>
              <w:t>PRAISE Incentive</w:t>
            </w:r>
          </w:p>
        </w:tc>
        <w:tc>
          <w:tcPr>
            <w:tcW w:w="1980" w:type="dxa"/>
            <w:vAlign w:val="center"/>
          </w:tcPr>
          <w:p w:rsidR="00093940" w:rsidRPr="00093940" w:rsidRDefault="00093940" w:rsidP="00093940">
            <w:pPr>
              <w:pStyle w:val="BodyText3"/>
              <w:spacing w:line="276" w:lineRule="auto"/>
              <w:jc w:val="right"/>
              <w:rPr>
                <w:rFonts w:ascii="Arial" w:hAnsi="Arial" w:cs="Arial"/>
                <w:bCs/>
                <w:i w:val="0"/>
                <w:sz w:val="20"/>
                <w:szCs w:val="20"/>
              </w:rPr>
            </w:pPr>
            <w:r w:rsidRPr="00093940">
              <w:rPr>
                <w:rFonts w:ascii="Arial" w:hAnsi="Arial" w:cs="Arial"/>
                <w:bCs/>
                <w:i w:val="0"/>
                <w:sz w:val="20"/>
                <w:szCs w:val="20"/>
              </w:rPr>
              <w:t>7,254,16</w:t>
            </w:r>
            <w:r w:rsidR="002B571C">
              <w:rPr>
                <w:rFonts w:ascii="Arial" w:hAnsi="Arial" w:cs="Arial"/>
                <w:bCs/>
                <w:i w:val="0"/>
                <w:sz w:val="20"/>
                <w:szCs w:val="20"/>
              </w:rPr>
              <w:t>7</w:t>
            </w:r>
          </w:p>
        </w:tc>
      </w:tr>
      <w:tr w:rsidR="00093940" w:rsidRPr="00093940" w:rsidTr="00093940">
        <w:trPr>
          <w:trHeight w:val="242"/>
        </w:trPr>
        <w:tc>
          <w:tcPr>
            <w:tcW w:w="3060" w:type="dxa"/>
            <w:vAlign w:val="center"/>
          </w:tcPr>
          <w:p w:rsidR="00093940" w:rsidRPr="00093940" w:rsidRDefault="00093940" w:rsidP="00093940">
            <w:pPr>
              <w:pStyle w:val="BodyText3"/>
              <w:spacing w:line="276" w:lineRule="auto"/>
              <w:jc w:val="left"/>
              <w:rPr>
                <w:rFonts w:ascii="Arial" w:hAnsi="Arial" w:cs="Arial"/>
                <w:b/>
                <w:bCs/>
                <w:i w:val="0"/>
                <w:sz w:val="20"/>
                <w:szCs w:val="20"/>
              </w:rPr>
            </w:pPr>
            <w:r w:rsidRPr="00093940">
              <w:rPr>
                <w:rFonts w:ascii="Arial" w:hAnsi="Arial" w:cs="Arial"/>
                <w:b/>
                <w:bCs/>
                <w:i w:val="0"/>
                <w:sz w:val="20"/>
                <w:szCs w:val="20"/>
              </w:rPr>
              <w:t>TOTAL</w:t>
            </w:r>
          </w:p>
        </w:tc>
        <w:tc>
          <w:tcPr>
            <w:tcW w:w="1980" w:type="dxa"/>
            <w:vAlign w:val="center"/>
          </w:tcPr>
          <w:p w:rsidR="00093940" w:rsidRPr="00093940" w:rsidRDefault="00E33268" w:rsidP="00093940">
            <w:pPr>
              <w:pStyle w:val="BodyText3"/>
              <w:spacing w:line="276" w:lineRule="auto"/>
              <w:jc w:val="right"/>
              <w:rPr>
                <w:rFonts w:ascii="Arial" w:hAnsi="Arial" w:cs="Arial"/>
                <w:bCs/>
                <w:i w:val="0"/>
                <w:strike/>
                <w:sz w:val="20"/>
                <w:szCs w:val="20"/>
              </w:rPr>
            </w:pPr>
            <w:r w:rsidRPr="00E33268">
              <w:rPr>
                <w:rFonts w:ascii="Arial" w:hAnsi="Arial" w:cs="Arial"/>
                <w:b/>
                <w:i w:val="0"/>
                <w:sz w:val="20"/>
                <w:szCs w:val="20"/>
              </w:rPr>
              <w:t>₱</w:t>
            </w:r>
            <w:r w:rsidR="00093940" w:rsidRPr="00093940">
              <w:rPr>
                <w:rFonts w:ascii="Arial" w:hAnsi="Arial" w:cs="Arial"/>
                <w:b/>
                <w:bCs/>
                <w:i w:val="0"/>
                <w:sz w:val="20"/>
                <w:szCs w:val="20"/>
              </w:rPr>
              <w:t>20,562,65</w:t>
            </w:r>
            <w:r w:rsidR="002B571C">
              <w:rPr>
                <w:rFonts w:ascii="Arial" w:hAnsi="Arial" w:cs="Arial"/>
                <w:b/>
                <w:bCs/>
                <w:i w:val="0"/>
                <w:sz w:val="20"/>
                <w:szCs w:val="20"/>
              </w:rPr>
              <w:t>2</w:t>
            </w:r>
          </w:p>
        </w:tc>
      </w:tr>
    </w:tbl>
    <w:p w:rsidR="00093940" w:rsidRPr="00093940" w:rsidRDefault="00093940" w:rsidP="00093940">
      <w:pPr>
        <w:pStyle w:val="ListParagraph"/>
        <w:spacing w:after="0" w:line="240" w:lineRule="auto"/>
        <w:ind w:left="1267"/>
        <w:jc w:val="both"/>
        <w:rPr>
          <w:rFonts w:ascii="Arial" w:hAnsi="Arial" w:cs="Arial"/>
        </w:rPr>
      </w:pPr>
    </w:p>
    <w:p w:rsidR="00093940" w:rsidRPr="008648D3" w:rsidRDefault="008648D3" w:rsidP="002B571C">
      <w:pPr>
        <w:ind w:left="1260"/>
        <w:jc w:val="both"/>
        <w:rPr>
          <w:rFonts w:ascii="Arial" w:hAnsi="Arial" w:cs="Arial"/>
          <w:bCs/>
        </w:rPr>
      </w:pPr>
      <w:r w:rsidRPr="002B571C">
        <w:rPr>
          <w:rFonts w:ascii="Arial" w:hAnsi="Arial" w:cs="Arial"/>
          <w:i/>
          <w:sz w:val="22"/>
          <w:szCs w:val="22"/>
        </w:rPr>
        <w:t>Recommendations</w:t>
      </w:r>
      <w:r w:rsidR="00093940" w:rsidRPr="008648D3">
        <w:rPr>
          <w:rFonts w:ascii="Arial" w:hAnsi="Arial" w:cs="Arial"/>
          <w:sz w:val="22"/>
          <w:szCs w:val="22"/>
        </w:rPr>
        <w:t>:</w:t>
      </w:r>
    </w:p>
    <w:p w:rsidR="00093940" w:rsidRPr="00093940" w:rsidRDefault="00093940" w:rsidP="00093940">
      <w:pPr>
        <w:pStyle w:val="BodyText3"/>
        <w:ind w:left="2070" w:hanging="450"/>
        <w:rPr>
          <w:rFonts w:ascii="Arial" w:hAnsi="Arial" w:cs="Arial"/>
          <w:i w:val="0"/>
        </w:rPr>
      </w:pPr>
    </w:p>
    <w:p w:rsidR="00093940" w:rsidRPr="00093940" w:rsidRDefault="00093940" w:rsidP="00093940">
      <w:pPr>
        <w:pStyle w:val="BodyText3"/>
        <w:numPr>
          <w:ilvl w:val="0"/>
          <w:numId w:val="35"/>
        </w:numPr>
        <w:ind w:left="2304" w:hanging="432"/>
        <w:rPr>
          <w:rFonts w:ascii="Arial" w:hAnsi="Arial" w:cs="Arial"/>
          <w:bCs/>
        </w:rPr>
      </w:pPr>
      <w:r w:rsidRPr="00093940">
        <w:rPr>
          <w:rFonts w:ascii="Arial" w:hAnsi="Arial" w:cs="Arial"/>
          <w:sz w:val="22"/>
          <w:szCs w:val="22"/>
        </w:rPr>
        <w:t xml:space="preserve">Discontinue the grant of the abovementioned incentives without the requisite legal basis;  and </w:t>
      </w:r>
    </w:p>
    <w:p w:rsidR="00093940" w:rsidRPr="00093940" w:rsidRDefault="00093940" w:rsidP="00093940">
      <w:pPr>
        <w:pStyle w:val="BodyText3"/>
        <w:ind w:left="2070"/>
        <w:rPr>
          <w:rFonts w:ascii="Arial" w:hAnsi="Arial" w:cs="Arial"/>
          <w:bCs/>
        </w:rPr>
      </w:pPr>
    </w:p>
    <w:p w:rsidR="0079254E" w:rsidRPr="00093940" w:rsidRDefault="00093940" w:rsidP="00093940">
      <w:pPr>
        <w:pStyle w:val="BodyText3"/>
        <w:numPr>
          <w:ilvl w:val="0"/>
          <w:numId w:val="35"/>
        </w:numPr>
        <w:ind w:left="2304" w:hanging="432"/>
        <w:rPr>
          <w:rFonts w:ascii="Arial" w:hAnsi="Arial" w:cs="Arial"/>
          <w:i w:val="0"/>
        </w:rPr>
      </w:pPr>
      <w:r w:rsidRPr="00093940">
        <w:rPr>
          <w:rFonts w:ascii="Arial" w:hAnsi="Arial" w:cs="Arial"/>
          <w:sz w:val="22"/>
          <w:szCs w:val="22"/>
        </w:rPr>
        <w:t>Require its immediate refund to preclude the issuance of a Notice of Disallowance.</w:t>
      </w:r>
    </w:p>
    <w:p w:rsidR="0079254E" w:rsidRDefault="0079254E" w:rsidP="000202D9">
      <w:pPr>
        <w:jc w:val="both"/>
        <w:rPr>
          <w:rFonts w:ascii="Arial" w:hAnsi="Arial" w:cs="Arial"/>
          <w:sz w:val="22"/>
          <w:szCs w:val="22"/>
        </w:rPr>
      </w:pPr>
    </w:p>
    <w:p w:rsidR="00131BA9" w:rsidRPr="00DE3F0F" w:rsidRDefault="00131BA9" w:rsidP="000202D9">
      <w:pPr>
        <w:jc w:val="both"/>
        <w:rPr>
          <w:rFonts w:ascii="Arial" w:hAnsi="Arial" w:cs="Arial"/>
          <w:sz w:val="22"/>
          <w:szCs w:val="22"/>
        </w:rPr>
      </w:pPr>
    </w:p>
    <w:p w:rsidR="000E737F" w:rsidRPr="00093940" w:rsidRDefault="00093940" w:rsidP="000202D9">
      <w:pPr>
        <w:pStyle w:val="ListParagraph"/>
        <w:numPr>
          <w:ilvl w:val="0"/>
          <w:numId w:val="10"/>
        </w:numPr>
        <w:spacing w:after="0" w:line="240" w:lineRule="auto"/>
        <w:jc w:val="both"/>
        <w:rPr>
          <w:rFonts w:ascii="Arial" w:hAnsi="Arial" w:cs="Arial"/>
        </w:rPr>
      </w:pPr>
      <w:r w:rsidRPr="00093940">
        <w:rPr>
          <w:rFonts w:ascii="Arial" w:hAnsi="Arial" w:cs="Arial"/>
          <w:lang w:val="en-US"/>
        </w:rPr>
        <w:t xml:space="preserve">Subsidy releases for the Sitio Electrification and Barangay Line Enhancement Program (SEP/BLEP) totaling </w:t>
      </w:r>
      <w:r w:rsidR="00E33268">
        <w:rPr>
          <w:rFonts w:ascii="Arial" w:hAnsi="Arial" w:cs="Arial"/>
          <w:lang w:val="en-US"/>
        </w:rPr>
        <w:t>₱</w:t>
      </w:r>
      <w:r w:rsidRPr="00093940">
        <w:rPr>
          <w:rFonts w:ascii="Arial" w:hAnsi="Arial" w:cs="Arial"/>
          <w:lang w:val="en-US"/>
        </w:rPr>
        <w:t>8.362 billion remained unliquidated as of December 31, 2014 in violation of Item No. 2 of the COA Circular 2012-001</w:t>
      </w:r>
      <w:r w:rsidR="00E33268">
        <w:rPr>
          <w:rFonts w:ascii="Arial" w:hAnsi="Arial" w:cs="Arial"/>
          <w:lang w:val="en-US"/>
        </w:rPr>
        <w:t xml:space="preserve"> </w:t>
      </w:r>
      <w:r w:rsidRPr="00093940">
        <w:rPr>
          <w:rFonts w:ascii="Arial" w:hAnsi="Arial" w:cs="Arial"/>
          <w:lang w:val="en-US"/>
        </w:rPr>
        <w:t>and Sections 3 and 4 of the MOA entered into by NEA with various Electric Cooperatives.</w:t>
      </w:r>
    </w:p>
    <w:p w:rsidR="009608B9" w:rsidRPr="00DE3F0F" w:rsidRDefault="009608B9" w:rsidP="000202D9">
      <w:pPr>
        <w:jc w:val="both"/>
        <w:rPr>
          <w:rFonts w:ascii="Arial" w:hAnsi="Arial" w:cs="Arial"/>
          <w:sz w:val="22"/>
          <w:szCs w:val="22"/>
        </w:rPr>
      </w:pPr>
    </w:p>
    <w:p w:rsidR="008648D3" w:rsidRPr="002B571C" w:rsidRDefault="008648D3" w:rsidP="002B571C">
      <w:pPr>
        <w:ind w:left="1260"/>
        <w:jc w:val="both"/>
        <w:rPr>
          <w:rFonts w:ascii="Arial" w:hAnsi="Arial" w:cs="Arial"/>
          <w:i/>
          <w:sz w:val="22"/>
          <w:szCs w:val="22"/>
        </w:rPr>
      </w:pPr>
      <w:r w:rsidRPr="002B571C">
        <w:rPr>
          <w:rFonts w:ascii="Arial" w:hAnsi="Arial" w:cs="Arial"/>
          <w:i/>
          <w:sz w:val="22"/>
          <w:szCs w:val="22"/>
        </w:rPr>
        <w:t>Recommendations:</w:t>
      </w:r>
    </w:p>
    <w:p w:rsidR="0026546C" w:rsidRPr="00DE3F0F" w:rsidRDefault="0026546C" w:rsidP="000202D9">
      <w:pPr>
        <w:pStyle w:val="ListParagraph"/>
        <w:spacing w:after="0" w:line="240" w:lineRule="auto"/>
        <w:ind w:left="1267"/>
        <w:jc w:val="both"/>
        <w:rPr>
          <w:rFonts w:ascii="Arial" w:hAnsi="Arial" w:cs="Arial"/>
          <w:i/>
        </w:rPr>
      </w:pPr>
    </w:p>
    <w:p w:rsidR="00093940" w:rsidRPr="00093940" w:rsidRDefault="00093940" w:rsidP="00093940">
      <w:pPr>
        <w:pStyle w:val="ListParagraph"/>
        <w:numPr>
          <w:ilvl w:val="0"/>
          <w:numId w:val="33"/>
        </w:numPr>
        <w:spacing w:after="0" w:line="240" w:lineRule="auto"/>
        <w:ind w:left="2304" w:hanging="432"/>
        <w:jc w:val="both"/>
        <w:rPr>
          <w:rFonts w:ascii="Arial" w:hAnsi="Arial" w:cs="Arial"/>
          <w:i/>
        </w:rPr>
      </w:pPr>
      <w:r w:rsidRPr="00093940">
        <w:rPr>
          <w:rFonts w:ascii="Arial" w:hAnsi="Arial" w:cs="Arial"/>
          <w:i/>
        </w:rPr>
        <w:t>Strictly comply with Section 2 of COA Circular 2012-001 and the Sections 3 and 4 of the MOA as agreed by NEA and ECs;</w:t>
      </w:r>
    </w:p>
    <w:p w:rsidR="00093940" w:rsidRPr="00093940" w:rsidRDefault="00093940" w:rsidP="00093940">
      <w:pPr>
        <w:ind w:left="1890"/>
        <w:contextualSpacing/>
        <w:jc w:val="both"/>
        <w:rPr>
          <w:rFonts w:ascii="Arial" w:hAnsi="Arial" w:cs="Arial"/>
          <w:i/>
        </w:rPr>
      </w:pPr>
    </w:p>
    <w:p w:rsidR="00093940" w:rsidRPr="00093940" w:rsidRDefault="00206420" w:rsidP="00093940">
      <w:pPr>
        <w:pStyle w:val="ListParagraph"/>
        <w:numPr>
          <w:ilvl w:val="0"/>
          <w:numId w:val="33"/>
        </w:numPr>
        <w:spacing w:after="0" w:line="240" w:lineRule="auto"/>
        <w:ind w:left="2304" w:hanging="432"/>
        <w:jc w:val="both"/>
        <w:rPr>
          <w:rFonts w:ascii="Arial" w:hAnsi="Arial" w:cs="Arial"/>
          <w:i/>
        </w:rPr>
      </w:pPr>
      <w:r w:rsidRPr="00206420">
        <w:rPr>
          <w:rFonts w:ascii="Arial" w:hAnsi="Arial" w:cs="Arial"/>
          <w:i/>
        </w:rPr>
        <w:t>Require the ECs to immediately submit the required liquidation reports  to facilitate the closing of the books of both ECs and NEA pertaining to the subsidy funds  and to reflect the accurate amount in the financial statements</w:t>
      </w:r>
      <w:r w:rsidR="00093940" w:rsidRPr="00093940">
        <w:rPr>
          <w:rFonts w:ascii="Arial" w:hAnsi="Arial" w:cs="Arial"/>
          <w:i/>
        </w:rPr>
        <w:t>; and</w:t>
      </w:r>
    </w:p>
    <w:p w:rsidR="00093940" w:rsidRPr="00093940" w:rsidRDefault="00093940" w:rsidP="00093940">
      <w:pPr>
        <w:ind w:left="1890"/>
        <w:contextualSpacing/>
        <w:jc w:val="both"/>
        <w:rPr>
          <w:rFonts w:ascii="Arial" w:hAnsi="Arial" w:cs="Arial"/>
          <w:i/>
        </w:rPr>
      </w:pPr>
    </w:p>
    <w:p w:rsidR="00093940" w:rsidRPr="00093940" w:rsidRDefault="00093940" w:rsidP="00093940">
      <w:pPr>
        <w:pStyle w:val="ListParagraph"/>
        <w:numPr>
          <w:ilvl w:val="0"/>
          <w:numId w:val="33"/>
        </w:numPr>
        <w:spacing w:after="0" w:line="240" w:lineRule="auto"/>
        <w:ind w:left="2304" w:hanging="432"/>
        <w:jc w:val="both"/>
        <w:rPr>
          <w:rFonts w:ascii="Arial" w:hAnsi="Arial" w:cs="Arial"/>
        </w:rPr>
      </w:pPr>
      <w:r w:rsidRPr="00093940">
        <w:rPr>
          <w:rFonts w:ascii="Arial" w:hAnsi="Arial" w:cs="Arial"/>
          <w:i/>
        </w:rPr>
        <w:t>Expedite the inspection of completed and energized project and the issuance of CFIA which is a necessary document to be submitted by the EC for the final liquidation of the subsidy pursuant to Section 4 of the MOA.</w:t>
      </w:r>
    </w:p>
    <w:p w:rsidR="00184725" w:rsidRPr="00DE3F0F" w:rsidRDefault="00093940" w:rsidP="00093940">
      <w:pPr>
        <w:pStyle w:val="ListParagraph"/>
        <w:spacing w:after="0" w:line="240" w:lineRule="auto"/>
        <w:ind w:left="2304"/>
        <w:jc w:val="both"/>
        <w:rPr>
          <w:rFonts w:ascii="Arial" w:hAnsi="Arial" w:cs="Arial"/>
        </w:rPr>
      </w:pPr>
      <w:r w:rsidRPr="00DE3F0F">
        <w:rPr>
          <w:rFonts w:ascii="Arial" w:hAnsi="Arial" w:cs="Arial"/>
        </w:rPr>
        <w:t xml:space="preserve"> </w:t>
      </w:r>
    </w:p>
    <w:p w:rsidR="000E737F" w:rsidRPr="00093940" w:rsidRDefault="00093940" w:rsidP="000202D9">
      <w:pPr>
        <w:pStyle w:val="ListParagraph"/>
        <w:numPr>
          <w:ilvl w:val="0"/>
          <w:numId w:val="10"/>
        </w:numPr>
        <w:spacing w:after="0" w:line="240" w:lineRule="auto"/>
        <w:jc w:val="both"/>
        <w:rPr>
          <w:rFonts w:ascii="Arial" w:hAnsi="Arial" w:cs="Arial"/>
        </w:rPr>
      </w:pPr>
      <w:r w:rsidRPr="00093940">
        <w:rPr>
          <w:rFonts w:ascii="Arial" w:hAnsi="Arial" w:cs="Arial"/>
          <w:lang w:val="en-US"/>
        </w:rPr>
        <w:t xml:space="preserve">Simultaneous and subsequent release of subsidy funds to 95 Electric Cooperatives for CY 2014 amounting to </w:t>
      </w:r>
      <w:r w:rsidR="00E33268">
        <w:rPr>
          <w:rFonts w:ascii="Arial" w:hAnsi="Arial" w:cs="Arial"/>
          <w:lang w:val="en-US"/>
        </w:rPr>
        <w:t>₱</w:t>
      </w:r>
      <w:r w:rsidRPr="00093940">
        <w:rPr>
          <w:rFonts w:ascii="Arial" w:hAnsi="Arial" w:cs="Arial"/>
          <w:lang w:val="en-US"/>
        </w:rPr>
        <w:t>5.502 billion was not in conformity with Section 2 of COA Circular No. 2012-001.</w:t>
      </w:r>
    </w:p>
    <w:p w:rsidR="00E1391B" w:rsidRPr="00093940" w:rsidRDefault="00E1391B" w:rsidP="000202D9">
      <w:pPr>
        <w:pStyle w:val="ListParagraph"/>
        <w:spacing w:after="0" w:line="240" w:lineRule="auto"/>
        <w:ind w:left="1267"/>
        <w:jc w:val="both"/>
        <w:rPr>
          <w:rFonts w:ascii="Arial" w:hAnsi="Arial" w:cs="Arial"/>
        </w:rPr>
      </w:pPr>
    </w:p>
    <w:p w:rsidR="008648D3" w:rsidRPr="002B571C" w:rsidRDefault="008648D3" w:rsidP="002B571C">
      <w:pPr>
        <w:ind w:left="1260"/>
        <w:jc w:val="both"/>
        <w:rPr>
          <w:rFonts w:ascii="Arial" w:hAnsi="Arial" w:cs="Arial"/>
          <w:i/>
          <w:sz w:val="22"/>
          <w:szCs w:val="22"/>
        </w:rPr>
      </w:pPr>
      <w:r w:rsidRPr="002B571C">
        <w:rPr>
          <w:rFonts w:ascii="Arial" w:hAnsi="Arial" w:cs="Arial"/>
          <w:i/>
          <w:sz w:val="22"/>
          <w:szCs w:val="22"/>
        </w:rPr>
        <w:t>Recommendations:</w:t>
      </w:r>
    </w:p>
    <w:p w:rsidR="00093940" w:rsidRPr="00093940" w:rsidRDefault="00093940" w:rsidP="00093940">
      <w:pPr>
        <w:ind w:left="720"/>
        <w:contextualSpacing/>
        <w:jc w:val="both"/>
        <w:rPr>
          <w:rFonts w:ascii="Arial" w:hAnsi="Arial" w:cs="Arial"/>
          <w:i/>
        </w:rPr>
      </w:pPr>
    </w:p>
    <w:p w:rsidR="00093940" w:rsidRPr="00093940" w:rsidRDefault="00093940" w:rsidP="00093940">
      <w:pPr>
        <w:pStyle w:val="ListParagraph"/>
        <w:numPr>
          <w:ilvl w:val="0"/>
          <w:numId w:val="36"/>
        </w:numPr>
        <w:spacing w:after="0" w:line="240" w:lineRule="auto"/>
        <w:ind w:left="2340" w:hanging="450"/>
        <w:jc w:val="both"/>
        <w:rPr>
          <w:rFonts w:ascii="Arial" w:hAnsi="Arial" w:cs="Arial"/>
          <w:i/>
        </w:rPr>
      </w:pPr>
      <w:r w:rsidRPr="00093940">
        <w:rPr>
          <w:rFonts w:ascii="Arial" w:hAnsi="Arial" w:cs="Arial"/>
          <w:i/>
        </w:rPr>
        <w:t>Strictly comply with Section 2 of COA Circular 2012-001 and Section 4 of the MOA; and</w:t>
      </w:r>
    </w:p>
    <w:p w:rsidR="00093940" w:rsidRPr="00093940" w:rsidRDefault="00093940" w:rsidP="00093940">
      <w:pPr>
        <w:pStyle w:val="ListParagraph"/>
        <w:spacing w:after="0" w:line="240" w:lineRule="auto"/>
        <w:ind w:left="2340" w:hanging="450"/>
        <w:jc w:val="both"/>
        <w:rPr>
          <w:rFonts w:ascii="Arial" w:hAnsi="Arial" w:cs="Arial"/>
          <w:i/>
        </w:rPr>
      </w:pPr>
    </w:p>
    <w:p w:rsidR="003B3480" w:rsidRPr="00851856" w:rsidRDefault="00093940" w:rsidP="00093940">
      <w:pPr>
        <w:pStyle w:val="ListParagraph"/>
        <w:numPr>
          <w:ilvl w:val="0"/>
          <w:numId w:val="36"/>
        </w:numPr>
        <w:spacing w:after="0" w:line="240" w:lineRule="auto"/>
        <w:ind w:left="2304" w:hanging="432"/>
        <w:jc w:val="both"/>
        <w:rPr>
          <w:rFonts w:ascii="Arial" w:hAnsi="Arial" w:cs="Arial"/>
        </w:rPr>
      </w:pPr>
      <w:r w:rsidRPr="00093940">
        <w:rPr>
          <w:rFonts w:ascii="Arial" w:hAnsi="Arial" w:cs="Arial"/>
          <w:i/>
        </w:rPr>
        <w:t>Require the ECs to immediately liquidate the completed and energized project before releasing a new project/s.</w:t>
      </w:r>
    </w:p>
    <w:p w:rsidR="00851856" w:rsidRPr="00851856" w:rsidRDefault="00851856" w:rsidP="00851856">
      <w:pPr>
        <w:pStyle w:val="ListParagraph"/>
        <w:rPr>
          <w:rFonts w:ascii="Arial" w:hAnsi="Arial" w:cs="Arial"/>
        </w:rPr>
      </w:pPr>
    </w:p>
    <w:p w:rsidR="00851856" w:rsidRPr="00093940" w:rsidRDefault="00851856" w:rsidP="00851856">
      <w:pPr>
        <w:pStyle w:val="ListParagraph"/>
        <w:spacing w:after="0" w:line="240" w:lineRule="auto"/>
        <w:ind w:left="2304"/>
        <w:jc w:val="both"/>
        <w:rPr>
          <w:rFonts w:ascii="Arial" w:hAnsi="Arial" w:cs="Arial"/>
        </w:rPr>
      </w:pPr>
    </w:p>
    <w:p w:rsidR="00557371" w:rsidRPr="000269C2" w:rsidRDefault="000269C2" w:rsidP="00093940">
      <w:pPr>
        <w:pStyle w:val="ListParagraph"/>
        <w:numPr>
          <w:ilvl w:val="0"/>
          <w:numId w:val="10"/>
        </w:numPr>
        <w:spacing w:after="0" w:line="240" w:lineRule="auto"/>
        <w:jc w:val="both"/>
        <w:rPr>
          <w:rFonts w:ascii="Arial" w:hAnsi="Arial" w:cs="Arial"/>
        </w:rPr>
      </w:pPr>
      <w:r w:rsidRPr="000269C2">
        <w:rPr>
          <w:rFonts w:ascii="Arial" w:hAnsi="Arial" w:cs="Arial"/>
          <w:lang w:val="en-US"/>
        </w:rPr>
        <w:t xml:space="preserve">Of the </w:t>
      </w:r>
      <w:r w:rsidR="00E33268">
        <w:rPr>
          <w:rFonts w:ascii="Arial" w:hAnsi="Arial" w:cs="Arial"/>
          <w:lang w:val="en-US"/>
        </w:rPr>
        <w:t>₱</w:t>
      </w:r>
      <w:r w:rsidRPr="000269C2">
        <w:rPr>
          <w:rFonts w:ascii="Arial" w:hAnsi="Arial" w:cs="Arial"/>
          <w:lang w:val="en-US"/>
        </w:rPr>
        <w:t xml:space="preserve">3.929 billion received for the Yolanda Recovery and Rehabilitation Plan (YRRP) intended for the rehabilitation and reconstruction works of 33 Electric Cooperatives (ECs), the amount of </w:t>
      </w:r>
      <w:r w:rsidR="00E33268">
        <w:rPr>
          <w:rFonts w:ascii="Arial" w:hAnsi="Arial" w:cs="Arial"/>
          <w:lang w:val="en-US"/>
        </w:rPr>
        <w:t>₱</w:t>
      </w:r>
      <w:r w:rsidRPr="000269C2">
        <w:rPr>
          <w:rFonts w:ascii="Arial" w:hAnsi="Arial" w:cs="Arial"/>
          <w:lang w:val="en-US"/>
        </w:rPr>
        <w:t>141.932 million were found unallocated; the</w:t>
      </w:r>
      <w:r>
        <w:rPr>
          <w:rFonts w:ascii="Arial" w:hAnsi="Arial" w:cs="Arial"/>
          <w:lang w:val="en-US"/>
        </w:rPr>
        <w:t xml:space="preserve"> </w:t>
      </w:r>
      <w:r w:rsidRPr="000269C2">
        <w:rPr>
          <w:rFonts w:ascii="Arial" w:hAnsi="Arial" w:cs="Arial"/>
          <w:lang w:val="en-US"/>
        </w:rPr>
        <w:t xml:space="preserve">amount of </w:t>
      </w:r>
      <w:r w:rsidR="00E33268">
        <w:rPr>
          <w:rFonts w:ascii="Arial" w:hAnsi="Arial" w:cs="Arial"/>
          <w:lang w:val="en-US"/>
        </w:rPr>
        <w:t>₱</w:t>
      </w:r>
      <w:r w:rsidRPr="000269C2">
        <w:rPr>
          <w:rFonts w:ascii="Arial" w:hAnsi="Arial" w:cs="Arial"/>
          <w:lang w:val="en-US"/>
        </w:rPr>
        <w:t>579.099 million was not released to ECs; the</w:t>
      </w:r>
      <w:r>
        <w:rPr>
          <w:rFonts w:ascii="Arial" w:hAnsi="Arial" w:cs="Arial"/>
          <w:lang w:val="en-US"/>
        </w:rPr>
        <w:t xml:space="preserve"> </w:t>
      </w:r>
      <w:r w:rsidRPr="000269C2">
        <w:rPr>
          <w:rFonts w:ascii="Arial" w:hAnsi="Arial" w:cs="Arial"/>
          <w:lang w:val="en-US"/>
        </w:rPr>
        <w:t xml:space="preserve">amount of </w:t>
      </w:r>
      <w:r w:rsidR="00E33268">
        <w:rPr>
          <w:rFonts w:ascii="Arial" w:hAnsi="Arial" w:cs="Arial"/>
          <w:lang w:val="en-US"/>
        </w:rPr>
        <w:t>₱</w:t>
      </w:r>
      <w:r w:rsidRPr="000269C2">
        <w:rPr>
          <w:rFonts w:ascii="Arial" w:hAnsi="Arial" w:cs="Arial"/>
          <w:lang w:val="en-US"/>
        </w:rPr>
        <w:t xml:space="preserve">53.332 million was not liquidated by the ECs and the amount of </w:t>
      </w:r>
      <w:r w:rsidR="00E33268">
        <w:rPr>
          <w:rFonts w:ascii="Arial" w:hAnsi="Arial" w:cs="Arial"/>
          <w:lang w:val="en-US"/>
        </w:rPr>
        <w:t>₱</w:t>
      </w:r>
      <w:r w:rsidRPr="000269C2">
        <w:rPr>
          <w:rFonts w:ascii="Arial" w:hAnsi="Arial" w:cs="Arial"/>
          <w:lang w:val="en-US"/>
        </w:rPr>
        <w:t>1.019 million remained unreleased to BOHECO I.</w:t>
      </w:r>
    </w:p>
    <w:p w:rsidR="000269C2" w:rsidRDefault="000269C2" w:rsidP="000269C2">
      <w:pPr>
        <w:pStyle w:val="ListParagraph"/>
        <w:spacing w:after="0" w:line="240" w:lineRule="auto"/>
        <w:ind w:left="1267"/>
        <w:jc w:val="both"/>
        <w:rPr>
          <w:rFonts w:ascii="Arial" w:hAnsi="Arial" w:cs="Arial"/>
          <w:lang w:val="en-US"/>
        </w:rPr>
      </w:pPr>
    </w:p>
    <w:p w:rsidR="008648D3" w:rsidRPr="002B571C" w:rsidRDefault="008648D3" w:rsidP="002B571C">
      <w:pPr>
        <w:ind w:left="1260"/>
        <w:jc w:val="both"/>
        <w:rPr>
          <w:rFonts w:ascii="Arial" w:hAnsi="Arial" w:cs="Arial"/>
          <w:i/>
          <w:sz w:val="22"/>
          <w:szCs w:val="22"/>
        </w:rPr>
      </w:pPr>
      <w:r w:rsidRPr="002B571C">
        <w:rPr>
          <w:rFonts w:ascii="Arial" w:hAnsi="Arial" w:cs="Arial"/>
          <w:i/>
          <w:sz w:val="22"/>
          <w:szCs w:val="22"/>
        </w:rPr>
        <w:t>Recommendations:</w:t>
      </w:r>
    </w:p>
    <w:p w:rsidR="000269C2" w:rsidRPr="000269C2" w:rsidRDefault="000269C2" w:rsidP="000269C2">
      <w:pPr>
        <w:pStyle w:val="ListParagraph"/>
        <w:spacing w:after="0" w:line="240" w:lineRule="auto"/>
        <w:ind w:left="1440"/>
        <w:jc w:val="both"/>
        <w:rPr>
          <w:rFonts w:ascii="Arial" w:hAnsi="Arial" w:cs="Arial"/>
          <w:i/>
        </w:rPr>
      </w:pPr>
    </w:p>
    <w:p w:rsidR="000269C2" w:rsidRPr="000269C2" w:rsidRDefault="000269C2" w:rsidP="000269C2">
      <w:pPr>
        <w:pStyle w:val="ListParagraph"/>
        <w:numPr>
          <w:ilvl w:val="0"/>
          <w:numId w:val="41"/>
        </w:numPr>
        <w:spacing w:after="0" w:line="240" w:lineRule="auto"/>
        <w:ind w:left="2340" w:hanging="450"/>
        <w:jc w:val="both"/>
        <w:rPr>
          <w:rFonts w:ascii="Arial" w:hAnsi="Arial" w:cs="Arial"/>
          <w:i/>
        </w:rPr>
      </w:pPr>
      <w:r w:rsidRPr="000269C2">
        <w:rPr>
          <w:rFonts w:ascii="Arial" w:hAnsi="Arial" w:cs="Arial"/>
          <w:i/>
        </w:rPr>
        <w:t xml:space="preserve">Submit explanations/justifications for the following: </w:t>
      </w:r>
    </w:p>
    <w:p w:rsidR="000269C2" w:rsidRPr="000269C2" w:rsidRDefault="000269C2" w:rsidP="000269C2">
      <w:pPr>
        <w:pStyle w:val="ListParagraph"/>
        <w:spacing w:after="0" w:line="240" w:lineRule="auto"/>
        <w:ind w:left="1800"/>
        <w:jc w:val="both"/>
        <w:rPr>
          <w:rFonts w:ascii="Arial" w:hAnsi="Arial" w:cs="Arial"/>
          <w:i/>
        </w:rPr>
      </w:pPr>
    </w:p>
    <w:p w:rsidR="000269C2" w:rsidRDefault="000269C2" w:rsidP="000269C2">
      <w:pPr>
        <w:pStyle w:val="ListParagraph"/>
        <w:numPr>
          <w:ilvl w:val="0"/>
          <w:numId w:val="38"/>
        </w:numPr>
        <w:spacing w:after="0" w:line="240" w:lineRule="auto"/>
        <w:ind w:left="2790"/>
        <w:jc w:val="both"/>
        <w:rPr>
          <w:rFonts w:ascii="Arial" w:hAnsi="Arial" w:cs="Arial"/>
          <w:i/>
        </w:rPr>
      </w:pPr>
      <w:r w:rsidRPr="000269C2">
        <w:rPr>
          <w:rFonts w:ascii="Arial" w:hAnsi="Arial" w:cs="Arial"/>
          <w:i/>
        </w:rPr>
        <w:t xml:space="preserve">Unallocated fund amounting to </w:t>
      </w:r>
      <w:r w:rsidR="00FD66E0" w:rsidRPr="00FD66E0">
        <w:rPr>
          <w:rFonts w:ascii="Arial" w:hAnsi="Arial" w:cs="Arial"/>
          <w:bCs/>
          <w:i/>
        </w:rPr>
        <w:t>₱</w:t>
      </w:r>
      <w:r w:rsidRPr="000269C2">
        <w:rPr>
          <w:rFonts w:ascii="Arial" w:hAnsi="Arial" w:cs="Arial"/>
          <w:i/>
        </w:rPr>
        <w:t>141.932 million;</w:t>
      </w:r>
    </w:p>
    <w:p w:rsidR="000942B2" w:rsidRPr="000269C2" w:rsidRDefault="000942B2" w:rsidP="000942B2">
      <w:pPr>
        <w:pStyle w:val="ListParagraph"/>
        <w:spacing w:after="0" w:line="240" w:lineRule="auto"/>
        <w:ind w:left="2790"/>
        <w:jc w:val="both"/>
        <w:rPr>
          <w:rFonts w:ascii="Arial" w:hAnsi="Arial" w:cs="Arial"/>
          <w:i/>
        </w:rPr>
      </w:pPr>
    </w:p>
    <w:p w:rsidR="000269C2" w:rsidRDefault="000269C2" w:rsidP="000269C2">
      <w:pPr>
        <w:pStyle w:val="ListParagraph"/>
        <w:numPr>
          <w:ilvl w:val="0"/>
          <w:numId w:val="38"/>
        </w:numPr>
        <w:spacing w:after="0" w:line="240" w:lineRule="auto"/>
        <w:ind w:left="2790"/>
        <w:jc w:val="both"/>
        <w:rPr>
          <w:rFonts w:ascii="Arial" w:hAnsi="Arial" w:cs="Arial"/>
          <w:i/>
        </w:rPr>
      </w:pPr>
      <w:r w:rsidRPr="000269C2">
        <w:rPr>
          <w:rFonts w:ascii="Arial" w:hAnsi="Arial" w:cs="Arial"/>
          <w:i/>
        </w:rPr>
        <w:t xml:space="preserve">Non-release of the remaining balance to ECs in the amount of </w:t>
      </w:r>
      <w:r w:rsidR="00E33268" w:rsidRPr="00E33268">
        <w:rPr>
          <w:rFonts w:ascii="Arial" w:hAnsi="Arial" w:cs="Arial"/>
          <w:i/>
          <w:lang w:val="en-US"/>
        </w:rPr>
        <w:t>₱</w:t>
      </w:r>
      <w:r w:rsidRPr="000269C2">
        <w:rPr>
          <w:rFonts w:ascii="Arial" w:hAnsi="Arial" w:cs="Arial"/>
          <w:i/>
        </w:rPr>
        <w:t>579.099 million;</w:t>
      </w:r>
    </w:p>
    <w:p w:rsidR="000942B2" w:rsidRPr="000942B2" w:rsidRDefault="000942B2" w:rsidP="000942B2">
      <w:pPr>
        <w:jc w:val="both"/>
        <w:rPr>
          <w:rFonts w:ascii="Arial" w:hAnsi="Arial" w:cs="Arial"/>
          <w:i/>
        </w:rPr>
      </w:pPr>
    </w:p>
    <w:p w:rsidR="000269C2" w:rsidRDefault="000269C2" w:rsidP="000269C2">
      <w:pPr>
        <w:pStyle w:val="ListParagraph"/>
        <w:numPr>
          <w:ilvl w:val="0"/>
          <w:numId w:val="38"/>
        </w:numPr>
        <w:spacing w:after="0" w:line="240" w:lineRule="auto"/>
        <w:ind w:left="2790"/>
        <w:jc w:val="both"/>
        <w:rPr>
          <w:rFonts w:ascii="Arial" w:hAnsi="Arial" w:cs="Arial"/>
          <w:i/>
        </w:rPr>
      </w:pPr>
      <w:r w:rsidRPr="000269C2">
        <w:rPr>
          <w:rFonts w:ascii="Arial" w:hAnsi="Arial" w:cs="Arial"/>
          <w:i/>
        </w:rPr>
        <w:t xml:space="preserve">Non-liquidation of  </w:t>
      </w:r>
      <w:r w:rsidR="00E33268" w:rsidRPr="00E33268">
        <w:rPr>
          <w:rFonts w:ascii="Arial" w:hAnsi="Arial" w:cs="Arial"/>
          <w:i/>
          <w:lang w:val="en-US"/>
        </w:rPr>
        <w:t>₱</w:t>
      </w:r>
      <w:r w:rsidRPr="000269C2">
        <w:rPr>
          <w:rFonts w:ascii="Arial" w:hAnsi="Arial" w:cs="Arial"/>
          <w:i/>
        </w:rPr>
        <w:t>53.332 million by the concerned ECs</w:t>
      </w:r>
      <w:r w:rsidR="002B6FAF">
        <w:rPr>
          <w:rFonts w:ascii="Arial" w:hAnsi="Arial" w:cs="Arial"/>
          <w:i/>
        </w:rPr>
        <w:t xml:space="preserve"> and see comments on Part 2 paragraph 3.3.3.2</w:t>
      </w:r>
      <w:r w:rsidRPr="000269C2">
        <w:rPr>
          <w:rFonts w:ascii="Arial" w:hAnsi="Arial" w:cs="Arial"/>
          <w:i/>
        </w:rPr>
        <w:t>; and</w:t>
      </w:r>
    </w:p>
    <w:p w:rsidR="000942B2" w:rsidRPr="000942B2" w:rsidRDefault="000942B2" w:rsidP="000942B2">
      <w:pPr>
        <w:jc w:val="both"/>
        <w:rPr>
          <w:rFonts w:ascii="Arial" w:hAnsi="Arial" w:cs="Arial"/>
          <w:i/>
        </w:rPr>
      </w:pPr>
    </w:p>
    <w:p w:rsidR="000269C2" w:rsidRPr="000269C2" w:rsidRDefault="000269C2" w:rsidP="000269C2">
      <w:pPr>
        <w:pStyle w:val="ListParagraph"/>
        <w:numPr>
          <w:ilvl w:val="0"/>
          <w:numId w:val="38"/>
        </w:numPr>
        <w:spacing w:after="0" w:line="240" w:lineRule="auto"/>
        <w:ind w:left="2790"/>
        <w:jc w:val="both"/>
        <w:rPr>
          <w:rFonts w:ascii="Arial" w:hAnsi="Arial" w:cs="Arial"/>
          <w:i/>
        </w:rPr>
      </w:pPr>
      <w:r w:rsidRPr="000269C2">
        <w:rPr>
          <w:rFonts w:ascii="Arial" w:hAnsi="Arial" w:cs="Arial"/>
          <w:i/>
        </w:rPr>
        <w:t xml:space="preserve">Non-release of </w:t>
      </w:r>
      <w:r w:rsidR="00E33268" w:rsidRPr="00E33268">
        <w:rPr>
          <w:rFonts w:ascii="Arial" w:hAnsi="Arial" w:cs="Arial"/>
          <w:i/>
          <w:lang w:val="en-US"/>
        </w:rPr>
        <w:t>₱</w:t>
      </w:r>
      <w:r w:rsidRPr="000269C2">
        <w:rPr>
          <w:rFonts w:ascii="Arial" w:hAnsi="Arial" w:cs="Arial"/>
          <w:i/>
        </w:rPr>
        <w:t>1.019 million to BOHECO I;</w:t>
      </w:r>
    </w:p>
    <w:p w:rsidR="000269C2" w:rsidRPr="000269C2" w:rsidRDefault="000269C2" w:rsidP="000269C2">
      <w:pPr>
        <w:pStyle w:val="ListParagraph"/>
        <w:spacing w:after="0" w:line="240" w:lineRule="auto"/>
        <w:ind w:left="2160"/>
        <w:jc w:val="both"/>
        <w:rPr>
          <w:rFonts w:ascii="Arial" w:hAnsi="Arial" w:cs="Arial"/>
          <w:i/>
        </w:rPr>
      </w:pPr>
    </w:p>
    <w:p w:rsidR="000269C2" w:rsidRPr="000269C2" w:rsidRDefault="000269C2" w:rsidP="000269C2">
      <w:pPr>
        <w:pStyle w:val="ListParagraph"/>
        <w:numPr>
          <w:ilvl w:val="0"/>
          <w:numId w:val="41"/>
        </w:numPr>
        <w:spacing w:after="0" w:line="240" w:lineRule="auto"/>
        <w:ind w:left="2340" w:hanging="450"/>
        <w:jc w:val="both"/>
        <w:rPr>
          <w:rFonts w:ascii="Arial" w:hAnsi="Arial" w:cs="Arial"/>
          <w:i/>
        </w:rPr>
      </w:pPr>
      <w:r w:rsidRPr="000269C2">
        <w:rPr>
          <w:rFonts w:ascii="Arial" w:hAnsi="Arial" w:cs="Arial"/>
          <w:i/>
        </w:rPr>
        <w:t>Require the concerned ECs to promptly submit liquidation reports of completed projects in compliance with the MOA; and</w:t>
      </w:r>
    </w:p>
    <w:p w:rsidR="000269C2" w:rsidRPr="000269C2" w:rsidRDefault="000269C2" w:rsidP="000269C2">
      <w:pPr>
        <w:pStyle w:val="ListParagraph"/>
        <w:spacing w:after="0" w:line="240" w:lineRule="auto"/>
        <w:ind w:left="1719"/>
        <w:rPr>
          <w:rFonts w:ascii="Arial" w:hAnsi="Arial" w:cs="Arial"/>
          <w:i/>
        </w:rPr>
      </w:pPr>
    </w:p>
    <w:p w:rsidR="000269C2" w:rsidRDefault="000269C2" w:rsidP="000269C2">
      <w:pPr>
        <w:pStyle w:val="ListParagraph"/>
        <w:numPr>
          <w:ilvl w:val="0"/>
          <w:numId w:val="41"/>
        </w:numPr>
        <w:spacing w:after="0" w:line="240" w:lineRule="auto"/>
        <w:ind w:left="2340" w:hanging="450"/>
        <w:jc w:val="both"/>
        <w:rPr>
          <w:rFonts w:ascii="Arial" w:hAnsi="Arial" w:cs="Arial"/>
        </w:rPr>
      </w:pPr>
      <w:r w:rsidRPr="000269C2">
        <w:rPr>
          <w:rFonts w:ascii="Arial" w:hAnsi="Arial" w:cs="Arial"/>
          <w:i/>
        </w:rPr>
        <w:t>Adjust the books to reflect the correct balance of the Due from NGOs/POs (Account Code 139) and the Loans Receivable (Account Code 126) as of December 31, 2014.</w:t>
      </w:r>
    </w:p>
    <w:p w:rsidR="000E737F" w:rsidRDefault="000269C2" w:rsidP="000269C2">
      <w:pPr>
        <w:jc w:val="both"/>
        <w:rPr>
          <w:rFonts w:ascii="Arial" w:hAnsi="Arial" w:cs="Arial"/>
        </w:rPr>
      </w:pPr>
      <w:r w:rsidRPr="000269C2">
        <w:rPr>
          <w:rFonts w:ascii="Arial" w:hAnsi="Arial" w:cs="Arial"/>
        </w:rPr>
        <w:t xml:space="preserve"> </w:t>
      </w:r>
    </w:p>
    <w:p w:rsidR="00536327" w:rsidRDefault="00536327" w:rsidP="000269C2">
      <w:pPr>
        <w:jc w:val="both"/>
        <w:rPr>
          <w:rFonts w:ascii="Arial" w:hAnsi="Arial" w:cs="Arial"/>
        </w:rPr>
      </w:pPr>
    </w:p>
    <w:p w:rsidR="00536327" w:rsidRDefault="00536327" w:rsidP="00536327">
      <w:pPr>
        <w:pStyle w:val="ListParagraph"/>
        <w:numPr>
          <w:ilvl w:val="0"/>
          <w:numId w:val="10"/>
        </w:numPr>
        <w:spacing w:after="0" w:line="240" w:lineRule="auto"/>
        <w:jc w:val="both"/>
        <w:rPr>
          <w:rFonts w:ascii="Arial" w:hAnsi="Arial" w:cs="Arial"/>
        </w:rPr>
      </w:pPr>
      <w:r w:rsidRPr="00536327">
        <w:rPr>
          <w:rFonts w:ascii="Arial" w:hAnsi="Arial" w:cs="Arial"/>
        </w:rPr>
        <w:t>Unexpended balance amounting to ₱42.955 million for the 70 projects of 13 ECs and interest earned of ₱1.974 million from 11 ECs were not refunded/ remitted to NEA pursuant to Section 7 of the MOA and NEA Memorandum Nos. 2009-026 and 2013-022.</w:t>
      </w:r>
    </w:p>
    <w:p w:rsidR="00536327" w:rsidRDefault="00536327" w:rsidP="00536327">
      <w:pPr>
        <w:jc w:val="both"/>
        <w:rPr>
          <w:rFonts w:ascii="Arial" w:hAnsi="Arial" w:cs="Arial"/>
        </w:rPr>
      </w:pPr>
    </w:p>
    <w:p w:rsidR="00536327" w:rsidRDefault="00536327" w:rsidP="00536327">
      <w:pPr>
        <w:ind w:left="1260"/>
        <w:jc w:val="both"/>
        <w:rPr>
          <w:rFonts w:ascii="Arial" w:hAnsi="Arial" w:cs="Arial"/>
          <w:i/>
          <w:sz w:val="22"/>
        </w:rPr>
      </w:pPr>
      <w:r w:rsidRPr="00536327">
        <w:rPr>
          <w:rFonts w:ascii="Arial" w:hAnsi="Arial" w:cs="Arial"/>
          <w:i/>
          <w:sz w:val="22"/>
        </w:rPr>
        <w:t>Recommendations:</w:t>
      </w:r>
    </w:p>
    <w:p w:rsidR="00536327" w:rsidRDefault="00536327" w:rsidP="00536327">
      <w:pPr>
        <w:ind w:left="1260"/>
        <w:jc w:val="both"/>
        <w:rPr>
          <w:rFonts w:ascii="Arial" w:hAnsi="Arial" w:cs="Arial"/>
          <w:i/>
          <w:sz w:val="22"/>
        </w:rPr>
      </w:pPr>
    </w:p>
    <w:p w:rsidR="00536327" w:rsidRPr="00536327" w:rsidRDefault="00536327" w:rsidP="00536327">
      <w:pPr>
        <w:pStyle w:val="ListParagraph"/>
        <w:numPr>
          <w:ilvl w:val="0"/>
          <w:numId w:val="42"/>
        </w:numPr>
        <w:spacing w:after="0" w:line="240" w:lineRule="auto"/>
        <w:ind w:left="2304" w:hanging="432"/>
        <w:jc w:val="both"/>
        <w:rPr>
          <w:rFonts w:ascii="Arial" w:hAnsi="Arial" w:cs="Arial"/>
          <w:i/>
        </w:rPr>
      </w:pPr>
      <w:r w:rsidRPr="00536327">
        <w:rPr>
          <w:rFonts w:ascii="Arial" w:hAnsi="Arial" w:cs="Arial"/>
          <w:i/>
        </w:rPr>
        <w:t>Require the EC to return/refund to NEA the amounts of ₱</w:t>
      </w:r>
      <w:r w:rsidR="008A1CE6" w:rsidRPr="00536327">
        <w:rPr>
          <w:rFonts w:ascii="Arial" w:hAnsi="Arial" w:cs="Arial"/>
          <w:i/>
        </w:rPr>
        <w:fldChar w:fldCharType="begin"/>
      </w:r>
      <w:r w:rsidRPr="00536327">
        <w:rPr>
          <w:rFonts w:ascii="Arial" w:hAnsi="Arial" w:cs="Arial"/>
          <w:i/>
        </w:rPr>
        <w:instrText xml:space="preserve"> =SUM(ABOVE) </w:instrText>
      </w:r>
      <w:r w:rsidR="008A1CE6" w:rsidRPr="00536327">
        <w:rPr>
          <w:rFonts w:ascii="Arial" w:hAnsi="Arial" w:cs="Arial"/>
          <w:i/>
        </w:rPr>
        <w:fldChar w:fldCharType="separate"/>
      </w:r>
      <w:r w:rsidRPr="00536327">
        <w:rPr>
          <w:rFonts w:ascii="Arial" w:hAnsi="Arial" w:cs="Arial"/>
          <w:i/>
        </w:rPr>
        <w:t xml:space="preserve">42.562 million </w:t>
      </w:r>
      <w:r w:rsidR="008A1CE6" w:rsidRPr="00536327">
        <w:rPr>
          <w:rFonts w:ascii="Arial" w:hAnsi="Arial" w:cs="Arial"/>
          <w:i/>
        </w:rPr>
        <w:fldChar w:fldCharType="end"/>
      </w:r>
      <w:r w:rsidRPr="00536327">
        <w:rPr>
          <w:rFonts w:ascii="Arial" w:hAnsi="Arial" w:cs="Arial"/>
          <w:i/>
        </w:rPr>
        <w:t>representing the unutilized/unliquidated balance of the subsidy received and interest earned amounting to ₱1.974 million  in accordance with Section 7 of the MOA and Memoranda No. 2009-026 and 2013-022; and</w:t>
      </w:r>
    </w:p>
    <w:p w:rsidR="00536327" w:rsidRPr="00536327" w:rsidRDefault="00536327" w:rsidP="00536327">
      <w:pPr>
        <w:pStyle w:val="ListParagraph"/>
        <w:spacing w:after="0" w:line="240" w:lineRule="auto"/>
        <w:ind w:left="2304"/>
        <w:jc w:val="both"/>
        <w:rPr>
          <w:rFonts w:ascii="Arial" w:hAnsi="Arial" w:cs="Arial"/>
          <w:i/>
        </w:rPr>
      </w:pPr>
    </w:p>
    <w:p w:rsidR="00536327" w:rsidRPr="00536327" w:rsidRDefault="00536327" w:rsidP="00536327">
      <w:pPr>
        <w:pStyle w:val="ListParagraph"/>
        <w:numPr>
          <w:ilvl w:val="0"/>
          <w:numId w:val="42"/>
        </w:numPr>
        <w:spacing w:after="0" w:line="240" w:lineRule="auto"/>
        <w:ind w:left="2304" w:hanging="432"/>
        <w:jc w:val="both"/>
        <w:rPr>
          <w:rFonts w:ascii="Arial" w:hAnsi="Arial" w:cs="Arial"/>
          <w:i/>
        </w:rPr>
      </w:pPr>
      <w:r w:rsidRPr="00536327">
        <w:rPr>
          <w:rFonts w:ascii="Arial" w:hAnsi="Arial" w:cs="Arial"/>
          <w:i/>
        </w:rPr>
        <w:t xml:space="preserve">In case of realignment, see to it that the unexpended balance and interest earned  accruing to the fund are requested for activities allied to the project, </w:t>
      </w:r>
      <w:r w:rsidRPr="00901365">
        <w:rPr>
          <w:rFonts w:ascii="Arial" w:hAnsi="Arial" w:cs="Arial"/>
          <w:i/>
        </w:rPr>
        <w:t xml:space="preserve">within one month after final Inspection of NEA, otherwise, the same </w:t>
      </w:r>
      <w:r w:rsidRPr="00536327">
        <w:rPr>
          <w:rFonts w:ascii="Arial" w:hAnsi="Arial" w:cs="Arial"/>
          <w:i/>
        </w:rPr>
        <w:t>should be refunded to NEA</w:t>
      </w:r>
    </w:p>
    <w:p w:rsidR="00F72561" w:rsidRDefault="00F72561" w:rsidP="000202D9">
      <w:pPr>
        <w:jc w:val="both"/>
        <w:rPr>
          <w:rFonts w:ascii="Arial" w:eastAsia="Calibri" w:hAnsi="Arial" w:cs="Arial"/>
          <w:sz w:val="22"/>
          <w:szCs w:val="22"/>
          <w:lang w:val="en-PH"/>
        </w:rPr>
      </w:pPr>
    </w:p>
    <w:p w:rsidR="00536327" w:rsidRPr="000A766C" w:rsidRDefault="00536327" w:rsidP="000202D9">
      <w:pPr>
        <w:jc w:val="both"/>
        <w:rPr>
          <w:rFonts w:ascii="Arial" w:hAnsi="Arial" w:cs="Arial"/>
          <w:sz w:val="22"/>
          <w:szCs w:val="22"/>
        </w:rPr>
      </w:pPr>
    </w:p>
    <w:p w:rsidR="00B33D51" w:rsidRPr="000A766C" w:rsidRDefault="00016478" w:rsidP="000202D9">
      <w:pPr>
        <w:pStyle w:val="ListParagraph"/>
        <w:numPr>
          <w:ilvl w:val="0"/>
          <w:numId w:val="11"/>
        </w:numPr>
        <w:spacing w:after="0" w:line="240" w:lineRule="auto"/>
        <w:ind w:left="450" w:hanging="450"/>
        <w:jc w:val="both"/>
        <w:rPr>
          <w:rFonts w:ascii="Arial" w:hAnsi="Arial" w:cs="Arial"/>
          <w:b/>
        </w:rPr>
      </w:pPr>
      <w:r w:rsidRPr="000A766C">
        <w:rPr>
          <w:rFonts w:ascii="Arial" w:hAnsi="Arial" w:cs="Arial"/>
          <w:b/>
        </w:rPr>
        <w:t>Status of Implementation of Prior Year’s Audit Recommendations</w:t>
      </w:r>
    </w:p>
    <w:p w:rsidR="00490726" w:rsidRPr="000A766C" w:rsidRDefault="00490726" w:rsidP="000202D9">
      <w:pPr>
        <w:contextualSpacing/>
        <w:jc w:val="both"/>
        <w:outlineLvl w:val="0"/>
        <w:rPr>
          <w:rFonts w:ascii="Arial" w:hAnsi="Arial" w:cs="Arial"/>
          <w:b/>
          <w:bCs/>
          <w:i/>
          <w:sz w:val="22"/>
          <w:szCs w:val="22"/>
        </w:rPr>
      </w:pPr>
    </w:p>
    <w:p w:rsidR="00254431" w:rsidRPr="000A766C" w:rsidRDefault="000A766C" w:rsidP="000202D9">
      <w:pPr>
        <w:ind w:left="450"/>
        <w:jc w:val="both"/>
        <w:rPr>
          <w:rFonts w:ascii="Arial" w:hAnsi="Arial" w:cs="Arial"/>
          <w:sz w:val="22"/>
          <w:szCs w:val="22"/>
        </w:rPr>
      </w:pPr>
      <w:r w:rsidRPr="000A766C">
        <w:rPr>
          <w:rFonts w:ascii="Arial" w:hAnsi="Arial" w:cs="Arial"/>
          <w:sz w:val="22"/>
          <w:szCs w:val="22"/>
          <w:lang w:val="en-PH" w:eastAsia="en-PH"/>
        </w:rPr>
        <w:t xml:space="preserve">Of </w:t>
      </w:r>
      <w:r w:rsidR="00941BD6" w:rsidRPr="000A766C">
        <w:rPr>
          <w:rFonts w:ascii="Arial" w:hAnsi="Arial" w:cs="Arial"/>
          <w:sz w:val="22"/>
          <w:szCs w:val="22"/>
          <w:lang w:val="en-PH" w:eastAsia="en-PH"/>
        </w:rPr>
        <w:t>COA’s 14</w:t>
      </w:r>
      <w:r w:rsidR="00016478" w:rsidRPr="000A766C">
        <w:rPr>
          <w:rFonts w:ascii="Arial" w:hAnsi="Arial" w:cs="Arial"/>
          <w:sz w:val="22"/>
          <w:szCs w:val="22"/>
          <w:lang w:val="en-PH" w:eastAsia="en-PH"/>
        </w:rPr>
        <w:t xml:space="preserve"> audit recommendations</w:t>
      </w:r>
      <w:r w:rsidR="00584345">
        <w:rPr>
          <w:rFonts w:ascii="Arial" w:hAnsi="Arial" w:cs="Arial"/>
          <w:sz w:val="22"/>
          <w:szCs w:val="22"/>
          <w:lang w:val="en-PH" w:eastAsia="en-PH"/>
        </w:rPr>
        <w:t xml:space="preserve"> embodied in the 2013</w:t>
      </w:r>
      <w:r w:rsidR="00EA55F6" w:rsidRPr="000A766C">
        <w:rPr>
          <w:rFonts w:ascii="Arial" w:hAnsi="Arial" w:cs="Arial"/>
          <w:sz w:val="22"/>
          <w:szCs w:val="22"/>
          <w:lang w:val="en-PH" w:eastAsia="en-PH"/>
        </w:rPr>
        <w:t xml:space="preserve"> Annual Audit Report</w:t>
      </w:r>
      <w:r w:rsidR="007F09D7" w:rsidRPr="000A766C">
        <w:rPr>
          <w:rFonts w:ascii="Arial" w:hAnsi="Arial" w:cs="Arial"/>
          <w:sz w:val="22"/>
          <w:szCs w:val="22"/>
          <w:lang w:val="en-PH" w:eastAsia="en-PH"/>
        </w:rPr>
        <w:t xml:space="preserve">, </w:t>
      </w:r>
      <w:r w:rsidR="008648D3">
        <w:rPr>
          <w:rFonts w:ascii="Arial" w:hAnsi="Arial" w:cs="Arial"/>
          <w:sz w:val="22"/>
          <w:szCs w:val="22"/>
          <w:lang w:val="en-PH" w:eastAsia="en-PH"/>
        </w:rPr>
        <w:t>eight</w:t>
      </w:r>
      <w:r w:rsidR="00095035">
        <w:rPr>
          <w:rFonts w:ascii="Arial" w:hAnsi="Arial" w:cs="Arial"/>
          <w:sz w:val="22"/>
          <w:szCs w:val="22"/>
          <w:lang w:val="en-PH" w:eastAsia="en-PH"/>
        </w:rPr>
        <w:t xml:space="preserve"> </w:t>
      </w:r>
      <w:r w:rsidR="00941BD6" w:rsidRPr="000A766C">
        <w:rPr>
          <w:rFonts w:ascii="Arial" w:hAnsi="Arial" w:cs="Arial"/>
          <w:sz w:val="22"/>
          <w:szCs w:val="22"/>
          <w:lang w:val="en-PH" w:eastAsia="en-PH"/>
        </w:rPr>
        <w:t xml:space="preserve">were </w:t>
      </w:r>
      <w:r w:rsidR="008648D3">
        <w:rPr>
          <w:rFonts w:ascii="Arial" w:hAnsi="Arial" w:cs="Arial"/>
          <w:sz w:val="22"/>
          <w:szCs w:val="22"/>
          <w:lang w:val="en-PH" w:eastAsia="en-PH"/>
        </w:rPr>
        <w:t>fully implemented and six</w:t>
      </w:r>
      <w:r w:rsidR="00016478" w:rsidRPr="000A766C">
        <w:rPr>
          <w:rFonts w:ascii="Arial" w:hAnsi="Arial" w:cs="Arial"/>
          <w:sz w:val="22"/>
          <w:szCs w:val="22"/>
          <w:lang w:val="en-PH" w:eastAsia="en-PH"/>
        </w:rPr>
        <w:t xml:space="preserve"> were</w:t>
      </w:r>
      <w:r w:rsidR="00424EC3" w:rsidRPr="000A766C">
        <w:rPr>
          <w:rFonts w:ascii="Arial" w:hAnsi="Arial" w:cs="Arial"/>
          <w:sz w:val="22"/>
          <w:szCs w:val="22"/>
          <w:lang w:val="en-PH" w:eastAsia="en-PH"/>
        </w:rPr>
        <w:t xml:space="preserve"> partially implemented</w:t>
      </w:r>
      <w:r w:rsidR="00941BD6" w:rsidRPr="000A766C">
        <w:rPr>
          <w:rFonts w:ascii="Arial" w:hAnsi="Arial" w:cs="Arial"/>
          <w:sz w:val="22"/>
          <w:szCs w:val="22"/>
          <w:lang w:val="en-PH" w:eastAsia="en-PH"/>
        </w:rPr>
        <w:t>.</w:t>
      </w:r>
      <w:r w:rsidR="00016478" w:rsidRPr="000A766C">
        <w:rPr>
          <w:rFonts w:ascii="Arial" w:hAnsi="Arial" w:cs="Arial"/>
          <w:sz w:val="22"/>
          <w:szCs w:val="22"/>
          <w:lang w:val="en-PH" w:eastAsia="en-PH"/>
        </w:rPr>
        <w:t xml:space="preserve"> Details were presented in Part II</w:t>
      </w:r>
      <w:r w:rsidR="009C4C04" w:rsidRPr="000A766C">
        <w:rPr>
          <w:rFonts w:ascii="Arial" w:hAnsi="Arial" w:cs="Arial"/>
          <w:sz w:val="22"/>
          <w:szCs w:val="22"/>
          <w:lang w:val="en-PH" w:eastAsia="en-PH"/>
        </w:rPr>
        <w:t>I</w:t>
      </w:r>
      <w:r w:rsidR="00F72561" w:rsidRPr="000A766C">
        <w:rPr>
          <w:rFonts w:ascii="Arial" w:hAnsi="Arial" w:cs="Arial"/>
          <w:sz w:val="22"/>
          <w:szCs w:val="22"/>
          <w:lang w:val="en-PH" w:eastAsia="en-PH"/>
        </w:rPr>
        <w:t xml:space="preserve"> of this R</w:t>
      </w:r>
      <w:r w:rsidR="00016478" w:rsidRPr="000A766C">
        <w:rPr>
          <w:rFonts w:ascii="Arial" w:hAnsi="Arial" w:cs="Arial"/>
          <w:sz w:val="22"/>
          <w:szCs w:val="22"/>
          <w:lang w:val="en-PH" w:eastAsia="en-PH"/>
        </w:rPr>
        <w:t>eport.</w:t>
      </w:r>
    </w:p>
    <w:sectPr w:rsidR="00254431" w:rsidRPr="000A766C" w:rsidSect="003C1305">
      <w:footerReference w:type="even" r:id="rId8"/>
      <w:footerReference w:type="default" r:id="rId9"/>
      <w:pgSz w:w="12240" w:h="15840" w:code="1"/>
      <w:pgMar w:top="1440" w:right="1440" w:bottom="1440" w:left="1800" w:header="720" w:footer="1008" w:gutter="0"/>
      <w:pgNumType w:fmt="lowerRoman"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DD5" w:rsidRDefault="00E56DD5">
      <w:r>
        <w:separator/>
      </w:r>
    </w:p>
  </w:endnote>
  <w:endnote w:type="continuationSeparator" w:id="0">
    <w:p w:rsidR="00E56DD5" w:rsidRDefault="00E5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7C" w:rsidRDefault="008A1CE6">
    <w:pPr>
      <w:pStyle w:val="Footer"/>
      <w:framePr w:wrap="around" w:vAnchor="text" w:hAnchor="margin" w:xAlign="right" w:y="1"/>
      <w:rPr>
        <w:rStyle w:val="PageNumber"/>
      </w:rPr>
    </w:pPr>
    <w:r>
      <w:rPr>
        <w:rStyle w:val="PageNumber"/>
      </w:rPr>
      <w:fldChar w:fldCharType="begin"/>
    </w:r>
    <w:r w:rsidR="003C4B7C">
      <w:rPr>
        <w:rStyle w:val="PageNumber"/>
      </w:rPr>
      <w:instrText xml:space="preserve">PAGE  </w:instrText>
    </w:r>
    <w:r>
      <w:rPr>
        <w:rStyle w:val="PageNumber"/>
      </w:rPr>
      <w:fldChar w:fldCharType="end"/>
    </w:r>
  </w:p>
  <w:p w:rsidR="003C4B7C" w:rsidRDefault="003C4B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81" w:rsidRPr="00591AB6" w:rsidRDefault="008A1CE6">
    <w:pPr>
      <w:pStyle w:val="Footer"/>
      <w:jc w:val="right"/>
    </w:pPr>
    <w:r w:rsidRPr="00591AB6">
      <w:rPr>
        <w:rFonts w:ascii="Arial" w:hAnsi="Arial"/>
      </w:rPr>
      <w:fldChar w:fldCharType="begin"/>
    </w:r>
    <w:r w:rsidR="000A1C81" w:rsidRPr="00591AB6">
      <w:rPr>
        <w:rFonts w:ascii="Arial" w:hAnsi="Arial"/>
      </w:rPr>
      <w:instrText xml:space="preserve"> PAGE   \* MERGEFORMAT </w:instrText>
    </w:r>
    <w:r w:rsidRPr="00591AB6">
      <w:rPr>
        <w:rFonts w:ascii="Arial" w:hAnsi="Arial"/>
      </w:rPr>
      <w:fldChar w:fldCharType="separate"/>
    </w:r>
    <w:r w:rsidR="007A5CB3">
      <w:rPr>
        <w:rFonts w:ascii="Arial" w:hAnsi="Arial"/>
        <w:noProof/>
      </w:rPr>
      <w:t>i</w:t>
    </w:r>
    <w:r w:rsidRPr="00591AB6">
      <w:rPr>
        <w:rFonts w:ascii="Arial" w:hAnsi="Arial"/>
      </w:rPr>
      <w:fldChar w:fldCharType="end"/>
    </w:r>
  </w:p>
  <w:p w:rsidR="003C4B7C" w:rsidRPr="000A1C81" w:rsidRDefault="003C4B7C" w:rsidP="000A1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DD5" w:rsidRDefault="00E56DD5">
      <w:r>
        <w:separator/>
      </w:r>
    </w:p>
  </w:footnote>
  <w:footnote w:type="continuationSeparator" w:id="0">
    <w:p w:rsidR="00E56DD5" w:rsidRDefault="00E56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53F8"/>
    <w:multiLevelType w:val="hybridMultilevel"/>
    <w:tmpl w:val="279AB31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A4570B"/>
    <w:multiLevelType w:val="hybridMultilevel"/>
    <w:tmpl w:val="A7AC1E5E"/>
    <w:lvl w:ilvl="0" w:tplc="5BE037CC">
      <w:start w:val="1"/>
      <w:numFmt w:val="lowerLetter"/>
      <w:lvlText w:val="%1."/>
      <w:lvlJc w:val="left"/>
      <w:pPr>
        <w:ind w:left="1800" w:hanging="360"/>
      </w:pPr>
      <w:rPr>
        <w:rFonts w:hint="default"/>
        <w:b/>
        <w:i/>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 w15:restartNumberingAfterBreak="0">
    <w:nsid w:val="0C4A3644"/>
    <w:multiLevelType w:val="hybridMultilevel"/>
    <w:tmpl w:val="B7829DC6"/>
    <w:lvl w:ilvl="0" w:tplc="38BCF93A">
      <w:start w:val="1"/>
      <w:numFmt w:val="lowerLetter"/>
      <w:lvlText w:val="%1."/>
      <w:lvlJc w:val="left"/>
      <w:pPr>
        <w:ind w:left="810" w:hanging="360"/>
      </w:pPr>
      <w:rPr>
        <w:rFonts w:hint="default"/>
      </w:rPr>
    </w:lvl>
    <w:lvl w:ilvl="1" w:tplc="34090019" w:tentative="1">
      <w:start w:val="1"/>
      <w:numFmt w:val="lowerLetter"/>
      <w:lvlText w:val="%2."/>
      <w:lvlJc w:val="left"/>
      <w:pPr>
        <w:ind w:left="1530" w:hanging="360"/>
      </w:pPr>
    </w:lvl>
    <w:lvl w:ilvl="2" w:tplc="3409001B" w:tentative="1">
      <w:start w:val="1"/>
      <w:numFmt w:val="lowerRoman"/>
      <w:lvlText w:val="%3."/>
      <w:lvlJc w:val="right"/>
      <w:pPr>
        <w:ind w:left="2250" w:hanging="180"/>
      </w:pPr>
    </w:lvl>
    <w:lvl w:ilvl="3" w:tplc="3409000F" w:tentative="1">
      <w:start w:val="1"/>
      <w:numFmt w:val="decimal"/>
      <w:lvlText w:val="%4."/>
      <w:lvlJc w:val="left"/>
      <w:pPr>
        <w:ind w:left="2970" w:hanging="360"/>
      </w:pPr>
    </w:lvl>
    <w:lvl w:ilvl="4" w:tplc="34090019" w:tentative="1">
      <w:start w:val="1"/>
      <w:numFmt w:val="lowerLetter"/>
      <w:lvlText w:val="%5."/>
      <w:lvlJc w:val="left"/>
      <w:pPr>
        <w:ind w:left="3690" w:hanging="360"/>
      </w:pPr>
    </w:lvl>
    <w:lvl w:ilvl="5" w:tplc="3409001B" w:tentative="1">
      <w:start w:val="1"/>
      <w:numFmt w:val="lowerRoman"/>
      <w:lvlText w:val="%6."/>
      <w:lvlJc w:val="right"/>
      <w:pPr>
        <w:ind w:left="4410" w:hanging="180"/>
      </w:pPr>
    </w:lvl>
    <w:lvl w:ilvl="6" w:tplc="3409000F" w:tentative="1">
      <w:start w:val="1"/>
      <w:numFmt w:val="decimal"/>
      <w:lvlText w:val="%7."/>
      <w:lvlJc w:val="left"/>
      <w:pPr>
        <w:ind w:left="5130" w:hanging="360"/>
      </w:pPr>
    </w:lvl>
    <w:lvl w:ilvl="7" w:tplc="34090019" w:tentative="1">
      <w:start w:val="1"/>
      <w:numFmt w:val="lowerLetter"/>
      <w:lvlText w:val="%8."/>
      <w:lvlJc w:val="left"/>
      <w:pPr>
        <w:ind w:left="5850" w:hanging="360"/>
      </w:pPr>
    </w:lvl>
    <w:lvl w:ilvl="8" w:tplc="3409001B" w:tentative="1">
      <w:start w:val="1"/>
      <w:numFmt w:val="lowerRoman"/>
      <w:lvlText w:val="%9."/>
      <w:lvlJc w:val="right"/>
      <w:pPr>
        <w:ind w:left="6570" w:hanging="180"/>
      </w:pPr>
    </w:lvl>
  </w:abstractNum>
  <w:abstractNum w:abstractNumId="3" w15:restartNumberingAfterBreak="0">
    <w:nsid w:val="0DF06E0E"/>
    <w:multiLevelType w:val="hybridMultilevel"/>
    <w:tmpl w:val="FAD6AFF0"/>
    <w:lvl w:ilvl="0" w:tplc="FFCE2072">
      <w:start w:val="1"/>
      <w:numFmt w:val="lowerLetter"/>
      <w:lvlText w:val="%1."/>
      <w:lvlJc w:val="left"/>
      <w:pPr>
        <w:ind w:left="1512" w:hanging="360"/>
      </w:pPr>
      <w:rPr>
        <w:rFonts w:hint="default"/>
        <w:b w:val="0"/>
        <w:i/>
        <w:sz w:val="22"/>
        <w:szCs w:val="22"/>
      </w:rPr>
    </w:lvl>
    <w:lvl w:ilvl="1" w:tplc="34090019" w:tentative="1">
      <w:start w:val="1"/>
      <w:numFmt w:val="lowerLetter"/>
      <w:lvlText w:val="%2."/>
      <w:lvlJc w:val="left"/>
      <w:pPr>
        <w:ind w:left="2232" w:hanging="360"/>
      </w:pPr>
    </w:lvl>
    <w:lvl w:ilvl="2" w:tplc="3409001B" w:tentative="1">
      <w:start w:val="1"/>
      <w:numFmt w:val="lowerRoman"/>
      <w:lvlText w:val="%3."/>
      <w:lvlJc w:val="right"/>
      <w:pPr>
        <w:ind w:left="2952" w:hanging="180"/>
      </w:pPr>
    </w:lvl>
    <w:lvl w:ilvl="3" w:tplc="3409000F" w:tentative="1">
      <w:start w:val="1"/>
      <w:numFmt w:val="decimal"/>
      <w:lvlText w:val="%4."/>
      <w:lvlJc w:val="left"/>
      <w:pPr>
        <w:ind w:left="3672" w:hanging="360"/>
      </w:pPr>
    </w:lvl>
    <w:lvl w:ilvl="4" w:tplc="34090019" w:tentative="1">
      <w:start w:val="1"/>
      <w:numFmt w:val="lowerLetter"/>
      <w:lvlText w:val="%5."/>
      <w:lvlJc w:val="left"/>
      <w:pPr>
        <w:ind w:left="4392" w:hanging="360"/>
      </w:pPr>
    </w:lvl>
    <w:lvl w:ilvl="5" w:tplc="3409001B" w:tentative="1">
      <w:start w:val="1"/>
      <w:numFmt w:val="lowerRoman"/>
      <w:lvlText w:val="%6."/>
      <w:lvlJc w:val="right"/>
      <w:pPr>
        <w:ind w:left="5112" w:hanging="180"/>
      </w:pPr>
    </w:lvl>
    <w:lvl w:ilvl="6" w:tplc="3409000F" w:tentative="1">
      <w:start w:val="1"/>
      <w:numFmt w:val="decimal"/>
      <w:lvlText w:val="%7."/>
      <w:lvlJc w:val="left"/>
      <w:pPr>
        <w:ind w:left="5832" w:hanging="360"/>
      </w:pPr>
    </w:lvl>
    <w:lvl w:ilvl="7" w:tplc="34090019" w:tentative="1">
      <w:start w:val="1"/>
      <w:numFmt w:val="lowerLetter"/>
      <w:lvlText w:val="%8."/>
      <w:lvlJc w:val="left"/>
      <w:pPr>
        <w:ind w:left="6552" w:hanging="360"/>
      </w:pPr>
    </w:lvl>
    <w:lvl w:ilvl="8" w:tplc="3409001B" w:tentative="1">
      <w:start w:val="1"/>
      <w:numFmt w:val="lowerRoman"/>
      <w:lvlText w:val="%9."/>
      <w:lvlJc w:val="right"/>
      <w:pPr>
        <w:ind w:left="7272" w:hanging="180"/>
      </w:pPr>
    </w:lvl>
  </w:abstractNum>
  <w:abstractNum w:abstractNumId="4" w15:restartNumberingAfterBreak="0">
    <w:nsid w:val="10443AEB"/>
    <w:multiLevelType w:val="hybridMultilevel"/>
    <w:tmpl w:val="30D02A86"/>
    <w:lvl w:ilvl="0" w:tplc="F3D48CB2">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19069A2"/>
    <w:multiLevelType w:val="hybridMultilevel"/>
    <w:tmpl w:val="1C02EB62"/>
    <w:lvl w:ilvl="0" w:tplc="98160A72">
      <w:start w:val="1"/>
      <w:numFmt w:val="upperLetter"/>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8B17204"/>
    <w:multiLevelType w:val="hybridMultilevel"/>
    <w:tmpl w:val="06C64B36"/>
    <w:lvl w:ilvl="0" w:tplc="88AA86AC">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12A00D7"/>
    <w:multiLevelType w:val="hybridMultilevel"/>
    <w:tmpl w:val="BB369C14"/>
    <w:lvl w:ilvl="0" w:tplc="91062170">
      <w:start w:val="1"/>
      <w:numFmt w:val="lowerLetter"/>
      <w:lvlText w:val="%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1BD7BB6"/>
    <w:multiLevelType w:val="hybridMultilevel"/>
    <w:tmpl w:val="3AC26EA2"/>
    <w:lvl w:ilvl="0" w:tplc="A8EE376A">
      <w:start w:val="1"/>
      <w:numFmt w:val="decimal"/>
      <w:lvlText w:val="%1."/>
      <w:lvlJc w:val="left"/>
      <w:pPr>
        <w:ind w:left="921" w:hanging="360"/>
      </w:pPr>
      <w:rPr>
        <w:rFonts w:hint="default"/>
      </w:rPr>
    </w:lvl>
    <w:lvl w:ilvl="1" w:tplc="34090019" w:tentative="1">
      <w:start w:val="1"/>
      <w:numFmt w:val="lowerLetter"/>
      <w:lvlText w:val="%2."/>
      <w:lvlJc w:val="left"/>
      <w:pPr>
        <w:ind w:left="1641" w:hanging="360"/>
      </w:pPr>
    </w:lvl>
    <w:lvl w:ilvl="2" w:tplc="3409001B" w:tentative="1">
      <w:start w:val="1"/>
      <w:numFmt w:val="lowerRoman"/>
      <w:lvlText w:val="%3."/>
      <w:lvlJc w:val="right"/>
      <w:pPr>
        <w:ind w:left="2361" w:hanging="180"/>
      </w:pPr>
    </w:lvl>
    <w:lvl w:ilvl="3" w:tplc="3409000F" w:tentative="1">
      <w:start w:val="1"/>
      <w:numFmt w:val="decimal"/>
      <w:lvlText w:val="%4."/>
      <w:lvlJc w:val="left"/>
      <w:pPr>
        <w:ind w:left="3081" w:hanging="360"/>
      </w:pPr>
    </w:lvl>
    <w:lvl w:ilvl="4" w:tplc="34090019" w:tentative="1">
      <w:start w:val="1"/>
      <w:numFmt w:val="lowerLetter"/>
      <w:lvlText w:val="%5."/>
      <w:lvlJc w:val="left"/>
      <w:pPr>
        <w:ind w:left="3801" w:hanging="360"/>
      </w:pPr>
    </w:lvl>
    <w:lvl w:ilvl="5" w:tplc="3409001B" w:tentative="1">
      <w:start w:val="1"/>
      <w:numFmt w:val="lowerRoman"/>
      <w:lvlText w:val="%6."/>
      <w:lvlJc w:val="right"/>
      <w:pPr>
        <w:ind w:left="4521" w:hanging="180"/>
      </w:pPr>
    </w:lvl>
    <w:lvl w:ilvl="6" w:tplc="3409000F" w:tentative="1">
      <w:start w:val="1"/>
      <w:numFmt w:val="decimal"/>
      <w:lvlText w:val="%7."/>
      <w:lvlJc w:val="left"/>
      <w:pPr>
        <w:ind w:left="5241" w:hanging="360"/>
      </w:pPr>
    </w:lvl>
    <w:lvl w:ilvl="7" w:tplc="34090019" w:tentative="1">
      <w:start w:val="1"/>
      <w:numFmt w:val="lowerLetter"/>
      <w:lvlText w:val="%8."/>
      <w:lvlJc w:val="left"/>
      <w:pPr>
        <w:ind w:left="5961" w:hanging="360"/>
      </w:pPr>
    </w:lvl>
    <w:lvl w:ilvl="8" w:tplc="3409001B" w:tentative="1">
      <w:start w:val="1"/>
      <w:numFmt w:val="lowerRoman"/>
      <w:lvlText w:val="%9."/>
      <w:lvlJc w:val="right"/>
      <w:pPr>
        <w:ind w:left="6681" w:hanging="180"/>
      </w:pPr>
    </w:lvl>
  </w:abstractNum>
  <w:abstractNum w:abstractNumId="9" w15:restartNumberingAfterBreak="0">
    <w:nsid w:val="22A83CD8"/>
    <w:multiLevelType w:val="multilevel"/>
    <w:tmpl w:val="816CA8B4"/>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051FC5"/>
    <w:multiLevelType w:val="multilevel"/>
    <w:tmpl w:val="7F9C06C6"/>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b w:val="0"/>
        <w:i w:val="0"/>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AB063F6"/>
    <w:multiLevelType w:val="multilevel"/>
    <w:tmpl w:val="0972C8E8"/>
    <w:lvl w:ilvl="0">
      <w:start w:val="1"/>
      <w:numFmt w:val="decimal"/>
      <w:lvlText w:val="%1."/>
      <w:lvlJc w:val="left"/>
      <w:pPr>
        <w:ind w:left="720" w:hanging="360"/>
      </w:pPr>
      <w:rPr>
        <w:rFonts w:hint="default"/>
      </w:rPr>
    </w:lvl>
    <w:lvl w:ilvl="1">
      <w:start w:val="1"/>
      <w:numFmt w:val="decimal"/>
      <w:isLgl/>
      <w:lvlText w:val="%1.%2"/>
      <w:lvlJc w:val="left"/>
      <w:pPr>
        <w:ind w:left="1890" w:hanging="360"/>
      </w:pPr>
      <w:rPr>
        <w:rFonts w:hint="default"/>
        <w:b w:val="0"/>
        <w:i w:val="0"/>
      </w:rPr>
    </w:lvl>
    <w:lvl w:ilvl="2">
      <w:start w:val="1"/>
      <w:numFmt w:val="decimal"/>
      <w:isLgl/>
      <w:lvlText w:val="%1.%2.%3"/>
      <w:lvlJc w:val="left"/>
      <w:pPr>
        <w:ind w:left="3420" w:hanging="720"/>
      </w:pPr>
      <w:rPr>
        <w:rFonts w:hint="default"/>
        <w:b w:val="0"/>
        <w:i w:val="0"/>
      </w:rPr>
    </w:lvl>
    <w:lvl w:ilvl="3">
      <w:start w:val="1"/>
      <w:numFmt w:val="decimal"/>
      <w:isLgl/>
      <w:lvlText w:val="%1.%2.%3.%4"/>
      <w:lvlJc w:val="left"/>
      <w:pPr>
        <w:ind w:left="4590" w:hanging="720"/>
      </w:pPr>
      <w:rPr>
        <w:rFonts w:hint="default"/>
        <w:i w:val="0"/>
        <w:color w:val="auto"/>
      </w:rPr>
    </w:lvl>
    <w:lvl w:ilvl="4">
      <w:start w:val="1"/>
      <w:numFmt w:val="decimal"/>
      <w:isLgl/>
      <w:lvlText w:val="%1.%2.%3.%4.%5"/>
      <w:lvlJc w:val="left"/>
      <w:pPr>
        <w:ind w:left="6120" w:hanging="1080"/>
      </w:pPr>
      <w:rPr>
        <w:rFonts w:hint="default"/>
      </w:rPr>
    </w:lvl>
    <w:lvl w:ilvl="5">
      <w:start w:val="1"/>
      <w:numFmt w:val="decimal"/>
      <w:isLgl/>
      <w:lvlText w:val="%1.%2.%3.%4.%5.%6"/>
      <w:lvlJc w:val="left"/>
      <w:pPr>
        <w:ind w:left="7290" w:hanging="1080"/>
      </w:pPr>
      <w:rPr>
        <w:rFonts w:hint="default"/>
      </w:rPr>
    </w:lvl>
    <w:lvl w:ilvl="6">
      <w:start w:val="1"/>
      <w:numFmt w:val="decimal"/>
      <w:isLgl/>
      <w:lvlText w:val="%1.%2.%3.%4.%5.%6.%7"/>
      <w:lvlJc w:val="left"/>
      <w:pPr>
        <w:ind w:left="8820" w:hanging="1440"/>
      </w:pPr>
      <w:rPr>
        <w:rFonts w:hint="default"/>
      </w:rPr>
    </w:lvl>
    <w:lvl w:ilvl="7">
      <w:start w:val="1"/>
      <w:numFmt w:val="decimal"/>
      <w:isLgl/>
      <w:lvlText w:val="%1.%2.%3.%4.%5.%6.%7.%8"/>
      <w:lvlJc w:val="left"/>
      <w:pPr>
        <w:ind w:left="9990" w:hanging="1440"/>
      </w:pPr>
      <w:rPr>
        <w:rFonts w:hint="default"/>
      </w:rPr>
    </w:lvl>
    <w:lvl w:ilvl="8">
      <w:start w:val="1"/>
      <w:numFmt w:val="decimal"/>
      <w:isLgl/>
      <w:lvlText w:val="%1.%2.%3.%4.%5.%6.%7.%8.%9"/>
      <w:lvlJc w:val="left"/>
      <w:pPr>
        <w:ind w:left="11520" w:hanging="1800"/>
      </w:pPr>
      <w:rPr>
        <w:rFonts w:hint="default"/>
      </w:rPr>
    </w:lvl>
  </w:abstractNum>
  <w:abstractNum w:abstractNumId="12" w15:restartNumberingAfterBreak="0">
    <w:nsid w:val="2AC1639F"/>
    <w:multiLevelType w:val="hybridMultilevel"/>
    <w:tmpl w:val="D99E1F64"/>
    <w:lvl w:ilvl="0" w:tplc="BEF8C43A">
      <w:start w:val="1"/>
      <w:numFmt w:val="lowerLetter"/>
      <w:lvlText w:val="%1."/>
      <w:lvlJc w:val="left"/>
      <w:pPr>
        <w:ind w:left="720" w:hanging="360"/>
      </w:pPr>
      <w:rPr>
        <w:rFonts w:hint="default"/>
        <w:i/>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B465B7D"/>
    <w:multiLevelType w:val="multilevel"/>
    <w:tmpl w:val="38824338"/>
    <w:lvl w:ilvl="0">
      <w:start w:val="4"/>
      <w:numFmt w:val="decimal"/>
      <w:lvlText w:val="%1"/>
      <w:lvlJc w:val="left"/>
      <w:pPr>
        <w:ind w:left="360" w:hanging="360"/>
      </w:pPr>
      <w:rPr>
        <w:rFonts w:hint="default"/>
        <w:i w:val="0"/>
      </w:rPr>
    </w:lvl>
    <w:lvl w:ilvl="1">
      <w:start w:val="1"/>
      <w:numFmt w:val="decimal"/>
      <w:lvlText w:val="%1.%2"/>
      <w:lvlJc w:val="left"/>
      <w:pPr>
        <w:ind w:left="1260" w:hanging="360"/>
      </w:pPr>
      <w:rPr>
        <w:rFonts w:hint="default"/>
        <w:b w:val="0"/>
        <w:i w:val="0"/>
        <w:sz w:val="22"/>
      </w:rPr>
    </w:lvl>
    <w:lvl w:ilvl="2">
      <w:start w:val="1"/>
      <w:numFmt w:val="decimal"/>
      <w:lvlText w:val="%1.%2.%3"/>
      <w:lvlJc w:val="left"/>
      <w:pPr>
        <w:ind w:left="2520" w:hanging="720"/>
      </w:pPr>
      <w:rPr>
        <w:rFonts w:hint="default"/>
        <w:i w:val="0"/>
      </w:rPr>
    </w:lvl>
    <w:lvl w:ilvl="3">
      <w:start w:val="1"/>
      <w:numFmt w:val="decimal"/>
      <w:lvlText w:val="%1.%2.%3.%4"/>
      <w:lvlJc w:val="left"/>
      <w:pPr>
        <w:ind w:left="3420" w:hanging="720"/>
      </w:pPr>
      <w:rPr>
        <w:rFonts w:hint="default"/>
        <w:i w:val="0"/>
      </w:rPr>
    </w:lvl>
    <w:lvl w:ilvl="4">
      <w:start w:val="1"/>
      <w:numFmt w:val="decimal"/>
      <w:lvlText w:val="%1.%2.%3.%4.%5"/>
      <w:lvlJc w:val="left"/>
      <w:pPr>
        <w:ind w:left="4680" w:hanging="1080"/>
      </w:pPr>
      <w:rPr>
        <w:rFonts w:hint="default"/>
        <w:i w:val="0"/>
      </w:rPr>
    </w:lvl>
    <w:lvl w:ilvl="5">
      <w:start w:val="1"/>
      <w:numFmt w:val="decimal"/>
      <w:lvlText w:val="%1.%2.%3.%4.%5.%6"/>
      <w:lvlJc w:val="left"/>
      <w:pPr>
        <w:ind w:left="5580" w:hanging="1080"/>
      </w:pPr>
      <w:rPr>
        <w:rFonts w:hint="default"/>
        <w:i w:val="0"/>
      </w:rPr>
    </w:lvl>
    <w:lvl w:ilvl="6">
      <w:start w:val="1"/>
      <w:numFmt w:val="decimal"/>
      <w:lvlText w:val="%1.%2.%3.%4.%5.%6.%7"/>
      <w:lvlJc w:val="left"/>
      <w:pPr>
        <w:ind w:left="6840" w:hanging="1440"/>
      </w:pPr>
      <w:rPr>
        <w:rFonts w:hint="default"/>
        <w:i w:val="0"/>
      </w:rPr>
    </w:lvl>
    <w:lvl w:ilvl="7">
      <w:start w:val="1"/>
      <w:numFmt w:val="decimal"/>
      <w:lvlText w:val="%1.%2.%3.%4.%5.%6.%7.%8"/>
      <w:lvlJc w:val="left"/>
      <w:pPr>
        <w:ind w:left="7740" w:hanging="1440"/>
      </w:pPr>
      <w:rPr>
        <w:rFonts w:hint="default"/>
        <w:i w:val="0"/>
      </w:rPr>
    </w:lvl>
    <w:lvl w:ilvl="8">
      <w:start w:val="1"/>
      <w:numFmt w:val="decimal"/>
      <w:lvlText w:val="%1.%2.%3.%4.%5.%6.%7.%8.%9"/>
      <w:lvlJc w:val="left"/>
      <w:pPr>
        <w:ind w:left="9000" w:hanging="1800"/>
      </w:pPr>
      <w:rPr>
        <w:rFonts w:hint="default"/>
        <w:i w:val="0"/>
      </w:rPr>
    </w:lvl>
  </w:abstractNum>
  <w:abstractNum w:abstractNumId="14" w15:restartNumberingAfterBreak="0">
    <w:nsid w:val="2C1B4480"/>
    <w:multiLevelType w:val="hybridMultilevel"/>
    <w:tmpl w:val="22F6B6D8"/>
    <w:lvl w:ilvl="0" w:tplc="EF6A45C0">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2F8777B8"/>
    <w:multiLevelType w:val="multilevel"/>
    <w:tmpl w:val="38742880"/>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b w:val="0"/>
        <w:i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33BF5A28"/>
    <w:multiLevelType w:val="hybridMultilevel"/>
    <w:tmpl w:val="007CFCB8"/>
    <w:lvl w:ilvl="0" w:tplc="A432B2E0">
      <w:start w:val="1"/>
      <w:numFmt w:val="lowerLetter"/>
      <w:lvlText w:val="%1."/>
      <w:lvlJc w:val="left"/>
      <w:pPr>
        <w:ind w:left="1944" w:hanging="360"/>
      </w:pPr>
      <w:rPr>
        <w:rFonts w:hint="default"/>
        <w:b w:val="0"/>
        <w:i/>
      </w:r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7" w15:restartNumberingAfterBreak="0">
    <w:nsid w:val="357878D1"/>
    <w:multiLevelType w:val="hybridMultilevel"/>
    <w:tmpl w:val="A4A02AF6"/>
    <w:lvl w:ilvl="0" w:tplc="9E8AC504">
      <w:start w:val="1"/>
      <w:numFmt w:val="lowerLetter"/>
      <w:lvlText w:val="%1."/>
      <w:lvlJc w:val="left"/>
      <w:pPr>
        <w:ind w:left="1800" w:hanging="360"/>
      </w:pPr>
      <w:rPr>
        <w:rFonts w:hint="default"/>
        <w:i/>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8" w15:restartNumberingAfterBreak="0">
    <w:nsid w:val="359B3E93"/>
    <w:multiLevelType w:val="hybridMultilevel"/>
    <w:tmpl w:val="AE487ACA"/>
    <w:lvl w:ilvl="0" w:tplc="23861E46">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517F3"/>
    <w:multiLevelType w:val="multilevel"/>
    <w:tmpl w:val="F516CDF4"/>
    <w:lvl w:ilvl="0">
      <w:start w:val="7"/>
      <w:numFmt w:val="decimal"/>
      <w:lvlText w:val="%1"/>
      <w:lvlJc w:val="left"/>
      <w:pPr>
        <w:ind w:left="360" w:hanging="360"/>
      </w:pPr>
      <w:rPr>
        <w:rFonts w:hint="default"/>
        <w:b/>
      </w:rPr>
    </w:lvl>
    <w:lvl w:ilvl="1">
      <w:start w:val="1"/>
      <w:numFmt w:val="decimal"/>
      <w:lvlText w:val="%1.%2"/>
      <w:lvlJc w:val="left"/>
      <w:pPr>
        <w:ind w:left="1800" w:hanging="360"/>
      </w:pPr>
      <w:rPr>
        <w:rFonts w:hint="default"/>
        <w:b w:val="0"/>
      </w:rPr>
    </w:lvl>
    <w:lvl w:ilvl="2">
      <w:start w:val="1"/>
      <w:numFmt w:val="decimalZero"/>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20" w15:restartNumberingAfterBreak="0">
    <w:nsid w:val="39E7136C"/>
    <w:multiLevelType w:val="hybridMultilevel"/>
    <w:tmpl w:val="B3D6B50C"/>
    <w:lvl w:ilvl="0" w:tplc="F75296AC">
      <w:start w:val="1"/>
      <w:numFmt w:val="decimal"/>
      <w:lvlText w:val="%1."/>
      <w:lvlJc w:val="left"/>
      <w:pPr>
        <w:ind w:left="810" w:hanging="360"/>
      </w:pPr>
      <w:rPr>
        <w:rFonts w:hint="default"/>
      </w:rPr>
    </w:lvl>
    <w:lvl w:ilvl="1" w:tplc="34090019" w:tentative="1">
      <w:start w:val="1"/>
      <w:numFmt w:val="lowerLetter"/>
      <w:lvlText w:val="%2."/>
      <w:lvlJc w:val="left"/>
      <w:pPr>
        <w:ind w:left="1530" w:hanging="360"/>
      </w:pPr>
    </w:lvl>
    <w:lvl w:ilvl="2" w:tplc="3409001B" w:tentative="1">
      <w:start w:val="1"/>
      <w:numFmt w:val="lowerRoman"/>
      <w:lvlText w:val="%3."/>
      <w:lvlJc w:val="right"/>
      <w:pPr>
        <w:ind w:left="2250" w:hanging="180"/>
      </w:pPr>
    </w:lvl>
    <w:lvl w:ilvl="3" w:tplc="3409000F" w:tentative="1">
      <w:start w:val="1"/>
      <w:numFmt w:val="decimal"/>
      <w:lvlText w:val="%4."/>
      <w:lvlJc w:val="left"/>
      <w:pPr>
        <w:ind w:left="2970" w:hanging="360"/>
      </w:pPr>
    </w:lvl>
    <w:lvl w:ilvl="4" w:tplc="34090019" w:tentative="1">
      <w:start w:val="1"/>
      <w:numFmt w:val="lowerLetter"/>
      <w:lvlText w:val="%5."/>
      <w:lvlJc w:val="left"/>
      <w:pPr>
        <w:ind w:left="3690" w:hanging="360"/>
      </w:pPr>
    </w:lvl>
    <w:lvl w:ilvl="5" w:tplc="3409001B" w:tentative="1">
      <w:start w:val="1"/>
      <w:numFmt w:val="lowerRoman"/>
      <w:lvlText w:val="%6."/>
      <w:lvlJc w:val="right"/>
      <w:pPr>
        <w:ind w:left="4410" w:hanging="180"/>
      </w:pPr>
    </w:lvl>
    <w:lvl w:ilvl="6" w:tplc="3409000F" w:tentative="1">
      <w:start w:val="1"/>
      <w:numFmt w:val="decimal"/>
      <w:lvlText w:val="%7."/>
      <w:lvlJc w:val="left"/>
      <w:pPr>
        <w:ind w:left="5130" w:hanging="360"/>
      </w:pPr>
    </w:lvl>
    <w:lvl w:ilvl="7" w:tplc="34090019" w:tentative="1">
      <w:start w:val="1"/>
      <w:numFmt w:val="lowerLetter"/>
      <w:lvlText w:val="%8."/>
      <w:lvlJc w:val="left"/>
      <w:pPr>
        <w:ind w:left="5850" w:hanging="360"/>
      </w:pPr>
    </w:lvl>
    <w:lvl w:ilvl="8" w:tplc="3409001B" w:tentative="1">
      <w:start w:val="1"/>
      <w:numFmt w:val="lowerRoman"/>
      <w:lvlText w:val="%9."/>
      <w:lvlJc w:val="right"/>
      <w:pPr>
        <w:ind w:left="6570" w:hanging="180"/>
      </w:pPr>
    </w:lvl>
  </w:abstractNum>
  <w:abstractNum w:abstractNumId="21" w15:restartNumberingAfterBreak="0">
    <w:nsid w:val="3D54017A"/>
    <w:multiLevelType w:val="hybridMultilevel"/>
    <w:tmpl w:val="966635A4"/>
    <w:lvl w:ilvl="0" w:tplc="3F90C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11C1E"/>
    <w:multiLevelType w:val="multilevel"/>
    <w:tmpl w:val="D570AEE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D35EE0"/>
    <w:multiLevelType w:val="multilevel"/>
    <w:tmpl w:val="FF0ADFA6"/>
    <w:lvl w:ilvl="0">
      <w:start w:val="10"/>
      <w:numFmt w:val="decimal"/>
      <w:lvlText w:val="%1"/>
      <w:lvlJc w:val="left"/>
      <w:pPr>
        <w:ind w:left="420" w:hanging="420"/>
      </w:pPr>
      <w:rPr>
        <w:rFonts w:hint="default"/>
      </w:rPr>
    </w:lvl>
    <w:lvl w:ilvl="1">
      <w:start w:val="1"/>
      <w:numFmt w:val="decimal"/>
      <w:lvlText w:val="%1.%2"/>
      <w:lvlJc w:val="left"/>
      <w:pPr>
        <w:ind w:left="1950" w:hanging="420"/>
      </w:pPr>
      <w:rPr>
        <w:rFonts w:hint="default"/>
      </w:rPr>
    </w:lvl>
    <w:lvl w:ilvl="2">
      <w:start w:val="1"/>
      <w:numFmt w:val="decimalZero"/>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24" w15:restartNumberingAfterBreak="0">
    <w:nsid w:val="42F273E4"/>
    <w:multiLevelType w:val="multilevel"/>
    <w:tmpl w:val="EBCED3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FE1878"/>
    <w:multiLevelType w:val="hybridMultilevel"/>
    <w:tmpl w:val="D5B880DA"/>
    <w:lvl w:ilvl="0" w:tplc="1DDAB8A0">
      <w:start w:val="1"/>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25260"/>
    <w:multiLevelType w:val="hybridMultilevel"/>
    <w:tmpl w:val="35D81348"/>
    <w:lvl w:ilvl="0" w:tplc="3D1830CE">
      <w:start w:val="1"/>
      <w:numFmt w:val="decimal"/>
      <w:lvlText w:val="1.%1"/>
      <w:lvlJc w:val="left"/>
      <w:pPr>
        <w:ind w:left="1440" w:hanging="360"/>
      </w:pPr>
      <w:rPr>
        <w:rFonts w:ascii="Arial" w:hAnsi="Arial" w:cs="Arial" w:hint="default"/>
        <w:b w:val="0"/>
        <w:i w:val="0"/>
        <w:sz w:val="22"/>
        <w:szCs w:val="22"/>
      </w:rPr>
    </w:lvl>
    <w:lvl w:ilvl="1" w:tplc="0AA25CB6">
      <w:start w:val="1"/>
      <w:numFmt w:val="lowerLetter"/>
      <w:lvlText w:val="%2."/>
      <w:lvlJc w:val="left"/>
      <w:pPr>
        <w:ind w:left="2160" w:hanging="360"/>
      </w:pPr>
      <w:rPr>
        <w: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4B299D"/>
    <w:multiLevelType w:val="hybridMultilevel"/>
    <w:tmpl w:val="65F02D2E"/>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8" w15:restartNumberingAfterBreak="0">
    <w:nsid w:val="4D1E3FEF"/>
    <w:multiLevelType w:val="hybridMultilevel"/>
    <w:tmpl w:val="72A819FA"/>
    <w:lvl w:ilvl="0" w:tplc="1562AACA">
      <w:start w:val="1"/>
      <w:numFmt w:val="lowerLetter"/>
      <w:lvlText w:val="%1."/>
      <w:lvlJc w:val="left"/>
      <w:pPr>
        <w:ind w:left="720" w:hanging="360"/>
      </w:pPr>
      <w:rPr>
        <w:rFonts w:hint="default"/>
        <w:i/>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3A10362"/>
    <w:multiLevelType w:val="multilevel"/>
    <w:tmpl w:val="6EB463C4"/>
    <w:lvl w:ilvl="0">
      <w:start w:val="1"/>
      <w:numFmt w:val="decimal"/>
      <w:lvlText w:val="%1."/>
      <w:lvlJc w:val="left"/>
      <w:pPr>
        <w:ind w:left="1800" w:hanging="360"/>
      </w:pPr>
      <w:rPr>
        <w:rFonts w:hint="default"/>
        <w:b/>
      </w:rPr>
    </w:lvl>
    <w:lvl w:ilvl="1">
      <w:start w:val="1"/>
      <w:numFmt w:val="decimal"/>
      <w:isLgl/>
      <w:lvlText w:val="%1.%2"/>
      <w:lvlJc w:val="left"/>
      <w:pPr>
        <w:ind w:left="1800" w:hanging="360"/>
      </w:pPr>
      <w:rPr>
        <w:rFonts w:hint="default"/>
        <w:b w:val="0"/>
        <w:i w:val="0"/>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0" w15:restartNumberingAfterBreak="0">
    <w:nsid w:val="58172A74"/>
    <w:multiLevelType w:val="hybridMultilevel"/>
    <w:tmpl w:val="EEA27800"/>
    <w:lvl w:ilvl="0" w:tplc="ADF03E2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1" w15:restartNumberingAfterBreak="0">
    <w:nsid w:val="58EE5D52"/>
    <w:multiLevelType w:val="hybridMultilevel"/>
    <w:tmpl w:val="F7F4EF38"/>
    <w:lvl w:ilvl="0" w:tplc="EC565C70">
      <w:start w:val="1"/>
      <w:numFmt w:val="lowerLetter"/>
      <w:lvlText w:val="%1."/>
      <w:lvlJc w:val="left"/>
      <w:pPr>
        <w:ind w:left="1980" w:hanging="360"/>
      </w:pPr>
      <w:rPr>
        <w:rFonts w:ascii="Arial" w:hAnsi="Arial" w:cs="Arial" w:hint="default"/>
        <w:b w:val="0"/>
        <w:i/>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15:restartNumberingAfterBreak="0">
    <w:nsid w:val="59224544"/>
    <w:multiLevelType w:val="hybridMultilevel"/>
    <w:tmpl w:val="CC60245C"/>
    <w:lvl w:ilvl="0" w:tplc="E0C0DB8C">
      <w:start w:val="1"/>
      <w:numFmt w:val="decimal"/>
      <w:lvlText w:val="%1."/>
      <w:lvlJc w:val="left"/>
      <w:pPr>
        <w:ind w:left="1267" w:hanging="360"/>
      </w:pPr>
      <w:rPr>
        <w:rFonts w:hint="default"/>
        <w:b w:val="0"/>
        <w:i w:val="0"/>
      </w:rPr>
    </w:lvl>
    <w:lvl w:ilvl="1" w:tplc="92DEB4FC">
      <w:start w:val="1"/>
      <w:numFmt w:val="lowerLetter"/>
      <w:lvlText w:val="%2."/>
      <w:lvlJc w:val="left"/>
      <w:pPr>
        <w:ind w:left="1987" w:hanging="360"/>
      </w:pPr>
      <w:rPr>
        <w:rFonts w:hint="default"/>
        <w:i w:val="0"/>
      </w:rPr>
    </w:lvl>
    <w:lvl w:ilvl="2" w:tplc="3409001B" w:tentative="1">
      <w:start w:val="1"/>
      <w:numFmt w:val="lowerRoman"/>
      <w:lvlText w:val="%3."/>
      <w:lvlJc w:val="right"/>
      <w:pPr>
        <w:ind w:left="2707" w:hanging="180"/>
      </w:pPr>
    </w:lvl>
    <w:lvl w:ilvl="3" w:tplc="3409000F" w:tentative="1">
      <w:start w:val="1"/>
      <w:numFmt w:val="decimal"/>
      <w:lvlText w:val="%4."/>
      <w:lvlJc w:val="left"/>
      <w:pPr>
        <w:ind w:left="3427" w:hanging="360"/>
      </w:pPr>
    </w:lvl>
    <w:lvl w:ilvl="4" w:tplc="34090019" w:tentative="1">
      <w:start w:val="1"/>
      <w:numFmt w:val="lowerLetter"/>
      <w:lvlText w:val="%5."/>
      <w:lvlJc w:val="left"/>
      <w:pPr>
        <w:ind w:left="4147" w:hanging="360"/>
      </w:pPr>
    </w:lvl>
    <w:lvl w:ilvl="5" w:tplc="3409001B" w:tentative="1">
      <w:start w:val="1"/>
      <w:numFmt w:val="lowerRoman"/>
      <w:lvlText w:val="%6."/>
      <w:lvlJc w:val="right"/>
      <w:pPr>
        <w:ind w:left="4867" w:hanging="180"/>
      </w:pPr>
    </w:lvl>
    <w:lvl w:ilvl="6" w:tplc="3409000F" w:tentative="1">
      <w:start w:val="1"/>
      <w:numFmt w:val="decimal"/>
      <w:lvlText w:val="%7."/>
      <w:lvlJc w:val="left"/>
      <w:pPr>
        <w:ind w:left="5587" w:hanging="360"/>
      </w:pPr>
    </w:lvl>
    <w:lvl w:ilvl="7" w:tplc="34090019" w:tentative="1">
      <w:start w:val="1"/>
      <w:numFmt w:val="lowerLetter"/>
      <w:lvlText w:val="%8."/>
      <w:lvlJc w:val="left"/>
      <w:pPr>
        <w:ind w:left="6307" w:hanging="360"/>
      </w:pPr>
    </w:lvl>
    <w:lvl w:ilvl="8" w:tplc="3409001B" w:tentative="1">
      <w:start w:val="1"/>
      <w:numFmt w:val="lowerRoman"/>
      <w:lvlText w:val="%9."/>
      <w:lvlJc w:val="right"/>
      <w:pPr>
        <w:ind w:left="7027" w:hanging="180"/>
      </w:pPr>
    </w:lvl>
  </w:abstractNum>
  <w:abstractNum w:abstractNumId="33" w15:restartNumberingAfterBreak="0">
    <w:nsid w:val="5CAA20F1"/>
    <w:multiLevelType w:val="hybridMultilevel"/>
    <w:tmpl w:val="A2504AC2"/>
    <w:lvl w:ilvl="0" w:tplc="8F041CA4">
      <w:start w:val="1"/>
      <w:numFmt w:val="lowerLetter"/>
      <w:lvlText w:val="%1."/>
      <w:lvlJc w:val="left"/>
      <w:pPr>
        <w:ind w:left="1512" w:hanging="360"/>
      </w:pPr>
      <w:rPr>
        <w:rFonts w:hint="default"/>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803615C8">
      <w:start w:val="1"/>
      <w:numFmt w:val="lowerLetter"/>
      <w:lvlText w:val="%4."/>
      <w:lvlJc w:val="left"/>
      <w:pPr>
        <w:ind w:left="3672" w:hanging="360"/>
      </w:pPr>
      <w:rPr>
        <w:rFonts w:hint="default"/>
        <w:sz w:val="22"/>
        <w:szCs w:val="22"/>
      </w:rPr>
    </w:lvl>
    <w:lvl w:ilvl="4" w:tplc="73C0E91C">
      <w:start w:val="1"/>
      <w:numFmt w:val="decimal"/>
      <w:lvlText w:val="%5."/>
      <w:lvlJc w:val="left"/>
      <w:pPr>
        <w:ind w:left="4392" w:hanging="360"/>
      </w:pPr>
      <w:rPr>
        <w:rFonts w:hint="default"/>
        <w:b w:val="0"/>
      </w:r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4" w15:restartNumberingAfterBreak="0">
    <w:nsid w:val="5F3079E0"/>
    <w:multiLevelType w:val="hybridMultilevel"/>
    <w:tmpl w:val="2E5846CC"/>
    <w:lvl w:ilvl="0" w:tplc="0FA46B2E">
      <w:start w:val="1"/>
      <w:numFmt w:val="decimal"/>
      <w:lvlText w:val="%1."/>
      <w:lvlJc w:val="left"/>
      <w:pPr>
        <w:ind w:left="810" w:hanging="360"/>
      </w:pPr>
      <w:rPr>
        <w:rFonts w:hint="default"/>
      </w:rPr>
    </w:lvl>
    <w:lvl w:ilvl="1" w:tplc="34090019" w:tentative="1">
      <w:start w:val="1"/>
      <w:numFmt w:val="lowerLetter"/>
      <w:lvlText w:val="%2."/>
      <w:lvlJc w:val="left"/>
      <w:pPr>
        <w:ind w:left="1530" w:hanging="360"/>
      </w:pPr>
    </w:lvl>
    <w:lvl w:ilvl="2" w:tplc="3409001B" w:tentative="1">
      <w:start w:val="1"/>
      <w:numFmt w:val="lowerRoman"/>
      <w:lvlText w:val="%3."/>
      <w:lvlJc w:val="right"/>
      <w:pPr>
        <w:ind w:left="2250" w:hanging="180"/>
      </w:pPr>
    </w:lvl>
    <w:lvl w:ilvl="3" w:tplc="3409000F" w:tentative="1">
      <w:start w:val="1"/>
      <w:numFmt w:val="decimal"/>
      <w:lvlText w:val="%4."/>
      <w:lvlJc w:val="left"/>
      <w:pPr>
        <w:ind w:left="2970" w:hanging="360"/>
      </w:pPr>
    </w:lvl>
    <w:lvl w:ilvl="4" w:tplc="34090019" w:tentative="1">
      <w:start w:val="1"/>
      <w:numFmt w:val="lowerLetter"/>
      <w:lvlText w:val="%5."/>
      <w:lvlJc w:val="left"/>
      <w:pPr>
        <w:ind w:left="3690" w:hanging="360"/>
      </w:pPr>
    </w:lvl>
    <w:lvl w:ilvl="5" w:tplc="3409001B" w:tentative="1">
      <w:start w:val="1"/>
      <w:numFmt w:val="lowerRoman"/>
      <w:lvlText w:val="%6."/>
      <w:lvlJc w:val="right"/>
      <w:pPr>
        <w:ind w:left="4410" w:hanging="180"/>
      </w:pPr>
    </w:lvl>
    <w:lvl w:ilvl="6" w:tplc="3409000F" w:tentative="1">
      <w:start w:val="1"/>
      <w:numFmt w:val="decimal"/>
      <w:lvlText w:val="%7."/>
      <w:lvlJc w:val="left"/>
      <w:pPr>
        <w:ind w:left="5130" w:hanging="360"/>
      </w:pPr>
    </w:lvl>
    <w:lvl w:ilvl="7" w:tplc="34090019" w:tentative="1">
      <w:start w:val="1"/>
      <w:numFmt w:val="lowerLetter"/>
      <w:lvlText w:val="%8."/>
      <w:lvlJc w:val="left"/>
      <w:pPr>
        <w:ind w:left="5850" w:hanging="360"/>
      </w:pPr>
    </w:lvl>
    <w:lvl w:ilvl="8" w:tplc="3409001B" w:tentative="1">
      <w:start w:val="1"/>
      <w:numFmt w:val="lowerRoman"/>
      <w:lvlText w:val="%9."/>
      <w:lvlJc w:val="right"/>
      <w:pPr>
        <w:ind w:left="6570" w:hanging="180"/>
      </w:pPr>
    </w:lvl>
  </w:abstractNum>
  <w:abstractNum w:abstractNumId="35" w15:restartNumberingAfterBreak="0">
    <w:nsid w:val="5FFB75A7"/>
    <w:multiLevelType w:val="hybridMultilevel"/>
    <w:tmpl w:val="9938A096"/>
    <w:lvl w:ilvl="0" w:tplc="0CC2F2D6">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D329FB"/>
    <w:multiLevelType w:val="multilevel"/>
    <w:tmpl w:val="23A4BA5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b w:val="0"/>
        <w:i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7" w15:restartNumberingAfterBreak="0">
    <w:nsid w:val="68BB18CA"/>
    <w:multiLevelType w:val="multilevel"/>
    <w:tmpl w:val="46DA675A"/>
    <w:lvl w:ilvl="0">
      <w:start w:val="12"/>
      <w:numFmt w:val="decimal"/>
      <w:lvlText w:val="%1"/>
      <w:lvlJc w:val="left"/>
      <w:pPr>
        <w:ind w:left="420" w:hanging="420"/>
      </w:pPr>
      <w:rPr>
        <w:rFonts w:hint="default"/>
        <w:b w:val="0"/>
      </w:rPr>
    </w:lvl>
    <w:lvl w:ilvl="1">
      <w:start w:val="1"/>
      <w:numFmt w:val="decimal"/>
      <w:lvlText w:val="%1.%2"/>
      <w:lvlJc w:val="left"/>
      <w:pPr>
        <w:ind w:left="1860" w:hanging="420"/>
      </w:pPr>
      <w:rPr>
        <w:rFonts w:hint="default"/>
        <w:b w:val="0"/>
        <w:i w:val="0"/>
      </w:rPr>
    </w:lvl>
    <w:lvl w:ilvl="2">
      <w:start w:val="1"/>
      <w:numFmt w:val="decimalZero"/>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8" w15:restartNumberingAfterBreak="0">
    <w:nsid w:val="74495986"/>
    <w:multiLevelType w:val="multilevel"/>
    <w:tmpl w:val="565446B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b w:val="0"/>
        <w:i w:val="0"/>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75AD369A"/>
    <w:multiLevelType w:val="multilevel"/>
    <w:tmpl w:val="E8465C42"/>
    <w:lvl w:ilvl="0">
      <w:start w:val="11"/>
      <w:numFmt w:val="decimal"/>
      <w:lvlText w:val="%1"/>
      <w:lvlJc w:val="left"/>
      <w:pPr>
        <w:ind w:left="420" w:hanging="420"/>
      </w:pPr>
      <w:rPr>
        <w:rFonts w:hint="default"/>
      </w:rPr>
    </w:lvl>
    <w:lvl w:ilvl="1">
      <w:start w:val="1"/>
      <w:numFmt w:val="decimal"/>
      <w:lvlText w:val="%1.%2"/>
      <w:lvlJc w:val="left"/>
      <w:pPr>
        <w:ind w:left="2640" w:hanging="420"/>
      </w:pPr>
      <w:rPr>
        <w:rFonts w:hint="default"/>
        <w:b w:val="0"/>
        <w:i w:val="0"/>
      </w:rPr>
    </w:lvl>
    <w:lvl w:ilvl="2">
      <w:start w:val="1"/>
      <w:numFmt w:val="decimal"/>
      <w:lvlText w:val="%1.%2.%3"/>
      <w:lvlJc w:val="left"/>
      <w:pPr>
        <w:ind w:left="5160" w:hanging="720"/>
      </w:pPr>
      <w:rPr>
        <w:rFonts w:hint="default"/>
      </w:rPr>
    </w:lvl>
    <w:lvl w:ilvl="3">
      <w:start w:val="1"/>
      <w:numFmt w:val="decimal"/>
      <w:lvlText w:val="%1.%2.%3.%4"/>
      <w:lvlJc w:val="left"/>
      <w:pPr>
        <w:ind w:left="7380" w:hanging="720"/>
      </w:pPr>
      <w:rPr>
        <w:rFonts w:hint="default"/>
      </w:rPr>
    </w:lvl>
    <w:lvl w:ilvl="4">
      <w:start w:val="1"/>
      <w:numFmt w:val="decimal"/>
      <w:lvlText w:val="%1.%2.%3.%4.%5"/>
      <w:lvlJc w:val="left"/>
      <w:pPr>
        <w:ind w:left="9960" w:hanging="1080"/>
      </w:pPr>
      <w:rPr>
        <w:rFonts w:hint="default"/>
      </w:rPr>
    </w:lvl>
    <w:lvl w:ilvl="5">
      <w:start w:val="1"/>
      <w:numFmt w:val="decimal"/>
      <w:lvlText w:val="%1.%2.%3.%4.%5.%6"/>
      <w:lvlJc w:val="left"/>
      <w:pPr>
        <w:ind w:left="12180" w:hanging="1080"/>
      </w:pPr>
      <w:rPr>
        <w:rFonts w:hint="default"/>
      </w:rPr>
    </w:lvl>
    <w:lvl w:ilvl="6">
      <w:start w:val="1"/>
      <w:numFmt w:val="decimal"/>
      <w:lvlText w:val="%1.%2.%3.%4.%5.%6.%7"/>
      <w:lvlJc w:val="left"/>
      <w:pPr>
        <w:ind w:left="14760" w:hanging="1440"/>
      </w:pPr>
      <w:rPr>
        <w:rFonts w:hint="default"/>
      </w:rPr>
    </w:lvl>
    <w:lvl w:ilvl="7">
      <w:start w:val="1"/>
      <w:numFmt w:val="decimal"/>
      <w:lvlText w:val="%1.%2.%3.%4.%5.%6.%7.%8"/>
      <w:lvlJc w:val="left"/>
      <w:pPr>
        <w:ind w:left="16980" w:hanging="1440"/>
      </w:pPr>
      <w:rPr>
        <w:rFonts w:hint="default"/>
      </w:rPr>
    </w:lvl>
    <w:lvl w:ilvl="8">
      <w:start w:val="1"/>
      <w:numFmt w:val="decimal"/>
      <w:lvlText w:val="%1.%2.%3.%4.%5.%6.%7.%8.%9"/>
      <w:lvlJc w:val="left"/>
      <w:pPr>
        <w:ind w:left="19560" w:hanging="1800"/>
      </w:pPr>
      <w:rPr>
        <w:rFonts w:hint="default"/>
      </w:rPr>
    </w:lvl>
  </w:abstractNum>
  <w:abstractNum w:abstractNumId="40" w15:restartNumberingAfterBreak="0">
    <w:nsid w:val="79B015C2"/>
    <w:multiLevelType w:val="hybridMultilevel"/>
    <w:tmpl w:val="E500EA2A"/>
    <w:lvl w:ilvl="0" w:tplc="3F90CED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1" w15:restartNumberingAfterBreak="0">
    <w:nsid w:val="7F110D44"/>
    <w:multiLevelType w:val="hybridMultilevel"/>
    <w:tmpl w:val="CA244860"/>
    <w:lvl w:ilvl="0" w:tplc="0AFA6B2C">
      <w:start w:val="1"/>
      <w:numFmt w:val="lowerLetter"/>
      <w:lvlText w:val="%1."/>
      <w:lvlJc w:val="left"/>
      <w:pPr>
        <w:ind w:left="2520" w:hanging="360"/>
      </w:pPr>
      <w:rPr>
        <w:rFonts w:hint="default"/>
        <w:b w:val="0"/>
        <w:i/>
      </w:rPr>
    </w:lvl>
    <w:lvl w:ilvl="1" w:tplc="34090019" w:tentative="1">
      <w:start w:val="1"/>
      <w:numFmt w:val="lowerLetter"/>
      <w:lvlText w:val="%2."/>
      <w:lvlJc w:val="left"/>
      <w:pPr>
        <w:ind w:left="3240" w:hanging="360"/>
      </w:pPr>
    </w:lvl>
    <w:lvl w:ilvl="2" w:tplc="3409001B">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num w:numId="1">
    <w:abstractNumId w:val="9"/>
  </w:num>
  <w:num w:numId="2">
    <w:abstractNumId w:val="40"/>
  </w:num>
  <w:num w:numId="3">
    <w:abstractNumId w:val="21"/>
  </w:num>
  <w:num w:numId="4">
    <w:abstractNumId w:val="35"/>
  </w:num>
  <w:num w:numId="5">
    <w:abstractNumId w:val="18"/>
  </w:num>
  <w:num w:numId="6">
    <w:abstractNumId w:val="26"/>
  </w:num>
  <w:num w:numId="7">
    <w:abstractNumId w:val="31"/>
  </w:num>
  <w:num w:numId="8">
    <w:abstractNumId w:val="17"/>
  </w:num>
  <w:num w:numId="9">
    <w:abstractNumId w:val="41"/>
  </w:num>
  <w:num w:numId="10">
    <w:abstractNumId w:val="32"/>
  </w:num>
  <w:num w:numId="11">
    <w:abstractNumId w:val="5"/>
  </w:num>
  <w:num w:numId="12">
    <w:abstractNumId w:val="34"/>
  </w:num>
  <w:num w:numId="13">
    <w:abstractNumId w:val="14"/>
  </w:num>
  <w:num w:numId="14">
    <w:abstractNumId w:val="30"/>
  </w:num>
  <w:num w:numId="15">
    <w:abstractNumId w:val="7"/>
  </w:num>
  <w:num w:numId="16">
    <w:abstractNumId w:val="8"/>
  </w:num>
  <w:num w:numId="17">
    <w:abstractNumId w:val="6"/>
  </w:num>
  <w:num w:numId="18">
    <w:abstractNumId w:val="2"/>
  </w:num>
  <w:num w:numId="19">
    <w:abstractNumId w:val="20"/>
  </w:num>
  <w:num w:numId="20">
    <w:abstractNumId w:val="36"/>
  </w:num>
  <w:num w:numId="21">
    <w:abstractNumId w:val="4"/>
  </w:num>
  <w:num w:numId="22">
    <w:abstractNumId w:val="13"/>
  </w:num>
  <w:num w:numId="23">
    <w:abstractNumId w:val="15"/>
  </w:num>
  <w:num w:numId="24">
    <w:abstractNumId w:val="38"/>
  </w:num>
  <w:num w:numId="25">
    <w:abstractNumId w:val="19"/>
  </w:num>
  <w:num w:numId="26">
    <w:abstractNumId w:val="24"/>
  </w:num>
  <w:num w:numId="27">
    <w:abstractNumId w:val="10"/>
  </w:num>
  <w:num w:numId="28">
    <w:abstractNumId w:val="23"/>
  </w:num>
  <w:num w:numId="29">
    <w:abstractNumId w:val="37"/>
  </w:num>
  <w:num w:numId="30">
    <w:abstractNumId w:val="39"/>
  </w:num>
  <w:num w:numId="31">
    <w:abstractNumId w:val="27"/>
  </w:num>
  <w:num w:numId="32">
    <w:abstractNumId w:val="33"/>
  </w:num>
  <w:num w:numId="33">
    <w:abstractNumId w:val="12"/>
  </w:num>
  <w:num w:numId="34">
    <w:abstractNumId w:val="22"/>
  </w:num>
  <w:num w:numId="35">
    <w:abstractNumId w:val="3"/>
  </w:num>
  <w:num w:numId="36">
    <w:abstractNumId w:val="28"/>
  </w:num>
  <w:num w:numId="37">
    <w:abstractNumId w:val="29"/>
  </w:num>
  <w:num w:numId="38">
    <w:abstractNumId w:val="0"/>
  </w:num>
  <w:num w:numId="39">
    <w:abstractNumId w:val="1"/>
  </w:num>
  <w:num w:numId="40">
    <w:abstractNumId w:val="11"/>
  </w:num>
  <w:num w:numId="41">
    <w:abstractNumId w:val="25"/>
  </w:num>
  <w:num w:numId="4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UP+oNJ2IeGdufYclVJI7OKgls+gCt+zvAFUSpowxnH9d8+45mUqpHFWk3IUs/f+QZY1J0aGLMDZyleNd1O1tA==" w:salt="k8FC5K+lZw+nLziIx1zlfA=="/>
  <w:defaultTabStop w:val="432"/>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1080F"/>
    <w:rsid w:val="00000811"/>
    <w:rsid w:val="00004DC5"/>
    <w:rsid w:val="00007413"/>
    <w:rsid w:val="00007B70"/>
    <w:rsid w:val="00010109"/>
    <w:rsid w:val="0001229F"/>
    <w:rsid w:val="00012360"/>
    <w:rsid w:val="000123CD"/>
    <w:rsid w:val="00012F0E"/>
    <w:rsid w:val="0001459D"/>
    <w:rsid w:val="00016478"/>
    <w:rsid w:val="000202D9"/>
    <w:rsid w:val="00022525"/>
    <w:rsid w:val="0002303E"/>
    <w:rsid w:val="00024AD8"/>
    <w:rsid w:val="00024E86"/>
    <w:rsid w:val="00025704"/>
    <w:rsid w:val="00025B9F"/>
    <w:rsid w:val="000269C2"/>
    <w:rsid w:val="00027E3E"/>
    <w:rsid w:val="000307FA"/>
    <w:rsid w:val="00031AD8"/>
    <w:rsid w:val="0003268B"/>
    <w:rsid w:val="00032DCF"/>
    <w:rsid w:val="0003376B"/>
    <w:rsid w:val="00034598"/>
    <w:rsid w:val="00037486"/>
    <w:rsid w:val="000406BC"/>
    <w:rsid w:val="00040A0E"/>
    <w:rsid w:val="00041415"/>
    <w:rsid w:val="00042C3E"/>
    <w:rsid w:val="00043299"/>
    <w:rsid w:val="00044D69"/>
    <w:rsid w:val="000451B4"/>
    <w:rsid w:val="00045589"/>
    <w:rsid w:val="000455EF"/>
    <w:rsid w:val="000460C0"/>
    <w:rsid w:val="00046540"/>
    <w:rsid w:val="00046871"/>
    <w:rsid w:val="00047BAA"/>
    <w:rsid w:val="00047D82"/>
    <w:rsid w:val="00047F6E"/>
    <w:rsid w:val="00052704"/>
    <w:rsid w:val="00053559"/>
    <w:rsid w:val="000545C2"/>
    <w:rsid w:val="000579F6"/>
    <w:rsid w:val="00060626"/>
    <w:rsid w:val="00060784"/>
    <w:rsid w:val="00061276"/>
    <w:rsid w:val="00066C8D"/>
    <w:rsid w:val="000671E8"/>
    <w:rsid w:val="000672D2"/>
    <w:rsid w:val="00070EA9"/>
    <w:rsid w:val="00071FCE"/>
    <w:rsid w:val="00075540"/>
    <w:rsid w:val="00075FD2"/>
    <w:rsid w:val="0007751D"/>
    <w:rsid w:val="00077BC2"/>
    <w:rsid w:val="00077F30"/>
    <w:rsid w:val="0008202C"/>
    <w:rsid w:val="000838A3"/>
    <w:rsid w:val="000839F2"/>
    <w:rsid w:val="000859B2"/>
    <w:rsid w:val="00086BC5"/>
    <w:rsid w:val="00090F7B"/>
    <w:rsid w:val="00091216"/>
    <w:rsid w:val="00091CE1"/>
    <w:rsid w:val="0009235A"/>
    <w:rsid w:val="000929E6"/>
    <w:rsid w:val="00093136"/>
    <w:rsid w:val="000932F3"/>
    <w:rsid w:val="00093940"/>
    <w:rsid w:val="00093E8C"/>
    <w:rsid w:val="000942B2"/>
    <w:rsid w:val="00095035"/>
    <w:rsid w:val="000A0340"/>
    <w:rsid w:val="000A0B15"/>
    <w:rsid w:val="000A0B2D"/>
    <w:rsid w:val="000A1106"/>
    <w:rsid w:val="000A1C81"/>
    <w:rsid w:val="000A21CB"/>
    <w:rsid w:val="000A2FF6"/>
    <w:rsid w:val="000A3EF0"/>
    <w:rsid w:val="000A4656"/>
    <w:rsid w:val="000A6DCA"/>
    <w:rsid w:val="000A71EE"/>
    <w:rsid w:val="000A766C"/>
    <w:rsid w:val="000A7AD6"/>
    <w:rsid w:val="000B0CD6"/>
    <w:rsid w:val="000B0F32"/>
    <w:rsid w:val="000B13BC"/>
    <w:rsid w:val="000B1761"/>
    <w:rsid w:val="000B2039"/>
    <w:rsid w:val="000B2A59"/>
    <w:rsid w:val="000B31EC"/>
    <w:rsid w:val="000B3908"/>
    <w:rsid w:val="000B3A43"/>
    <w:rsid w:val="000B4B70"/>
    <w:rsid w:val="000B5452"/>
    <w:rsid w:val="000B613B"/>
    <w:rsid w:val="000B69C8"/>
    <w:rsid w:val="000B6F06"/>
    <w:rsid w:val="000C3999"/>
    <w:rsid w:val="000C4AFD"/>
    <w:rsid w:val="000C5BF7"/>
    <w:rsid w:val="000C5FFC"/>
    <w:rsid w:val="000C617A"/>
    <w:rsid w:val="000C617D"/>
    <w:rsid w:val="000C6246"/>
    <w:rsid w:val="000D0F46"/>
    <w:rsid w:val="000D2264"/>
    <w:rsid w:val="000D2685"/>
    <w:rsid w:val="000D3217"/>
    <w:rsid w:val="000D3D4F"/>
    <w:rsid w:val="000D4D6D"/>
    <w:rsid w:val="000D5B11"/>
    <w:rsid w:val="000D6A37"/>
    <w:rsid w:val="000D6BC1"/>
    <w:rsid w:val="000D770E"/>
    <w:rsid w:val="000D7750"/>
    <w:rsid w:val="000D7F3A"/>
    <w:rsid w:val="000E0DB1"/>
    <w:rsid w:val="000E134F"/>
    <w:rsid w:val="000E1989"/>
    <w:rsid w:val="000E1A4C"/>
    <w:rsid w:val="000E1CE1"/>
    <w:rsid w:val="000E3A33"/>
    <w:rsid w:val="000E4CFF"/>
    <w:rsid w:val="000E5955"/>
    <w:rsid w:val="000E737F"/>
    <w:rsid w:val="000F0EB7"/>
    <w:rsid w:val="000F2085"/>
    <w:rsid w:val="000F2714"/>
    <w:rsid w:val="000F3A5B"/>
    <w:rsid w:val="000F3D44"/>
    <w:rsid w:val="000F4009"/>
    <w:rsid w:val="000F4A13"/>
    <w:rsid w:val="000F6B7A"/>
    <w:rsid w:val="000F74B8"/>
    <w:rsid w:val="000F793F"/>
    <w:rsid w:val="00100EED"/>
    <w:rsid w:val="00102799"/>
    <w:rsid w:val="00103201"/>
    <w:rsid w:val="0010423C"/>
    <w:rsid w:val="00104347"/>
    <w:rsid w:val="00104532"/>
    <w:rsid w:val="00104940"/>
    <w:rsid w:val="0010656C"/>
    <w:rsid w:val="00111498"/>
    <w:rsid w:val="00111D91"/>
    <w:rsid w:val="0011253F"/>
    <w:rsid w:val="00112C20"/>
    <w:rsid w:val="00113194"/>
    <w:rsid w:val="001134E5"/>
    <w:rsid w:val="0011368E"/>
    <w:rsid w:val="00113CBB"/>
    <w:rsid w:val="00113F18"/>
    <w:rsid w:val="00115DE7"/>
    <w:rsid w:val="0011677D"/>
    <w:rsid w:val="00121439"/>
    <w:rsid w:val="00125820"/>
    <w:rsid w:val="00125958"/>
    <w:rsid w:val="00125F24"/>
    <w:rsid w:val="00126832"/>
    <w:rsid w:val="00127161"/>
    <w:rsid w:val="0012743D"/>
    <w:rsid w:val="00127B48"/>
    <w:rsid w:val="001318FB"/>
    <w:rsid w:val="00131BA9"/>
    <w:rsid w:val="00132590"/>
    <w:rsid w:val="00132B67"/>
    <w:rsid w:val="00134C39"/>
    <w:rsid w:val="00135A0F"/>
    <w:rsid w:val="0013611A"/>
    <w:rsid w:val="0014087C"/>
    <w:rsid w:val="00141875"/>
    <w:rsid w:val="001464ED"/>
    <w:rsid w:val="0014722F"/>
    <w:rsid w:val="00147DB1"/>
    <w:rsid w:val="00147DEA"/>
    <w:rsid w:val="00150195"/>
    <w:rsid w:val="0015226B"/>
    <w:rsid w:val="00153124"/>
    <w:rsid w:val="0015434E"/>
    <w:rsid w:val="001545E7"/>
    <w:rsid w:val="001571EF"/>
    <w:rsid w:val="001601F1"/>
    <w:rsid w:val="00161410"/>
    <w:rsid w:val="00161613"/>
    <w:rsid w:val="00161DCB"/>
    <w:rsid w:val="00161E87"/>
    <w:rsid w:val="00162155"/>
    <w:rsid w:val="001627F1"/>
    <w:rsid w:val="00162E36"/>
    <w:rsid w:val="0016325A"/>
    <w:rsid w:val="00163264"/>
    <w:rsid w:val="00163270"/>
    <w:rsid w:val="00164BB6"/>
    <w:rsid w:val="001656F7"/>
    <w:rsid w:val="00171769"/>
    <w:rsid w:val="00172595"/>
    <w:rsid w:val="00172C84"/>
    <w:rsid w:val="00172E5B"/>
    <w:rsid w:val="00174F84"/>
    <w:rsid w:val="00176A81"/>
    <w:rsid w:val="0018020C"/>
    <w:rsid w:val="001816FE"/>
    <w:rsid w:val="00182F19"/>
    <w:rsid w:val="001831A6"/>
    <w:rsid w:val="00184725"/>
    <w:rsid w:val="001854B1"/>
    <w:rsid w:val="00185842"/>
    <w:rsid w:val="00185E13"/>
    <w:rsid w:val="0018652A"/>
    <w:rsid w:val="00187A2A"/>
    <w:rsid w:val="00187A6E"/>
    <w:rsid w:val="00191A31"/>
    <w:rsid w:val="00191BD2"/>
    <w:rsid w:val="00191D47"/>
    <w:rsid w:val="001923B8"/>
    <w:rsid w:val="00192629"/>
    <w:rsid w:val="00195C5B"/>
    <w:rsid w:val="001969F8"/>
    <w:rsid w:val="001A1451"/>
    <w:rsid w:val="001A1F9B"/>
    <w:rsid w:val="001A2104"/>
    <w:rsid w:val="001A2B15"/>
    <w:rsid w:val="001A2BB3"/>
    <w:rsid w:val="001A459F"/>
    <w:rsid w:val="001A6584"/>
    <w:rsid w:val="001A74EE"/>
    <w:rsid w:val="001A7FB1"/>
    <w:rsid w:val="001B03B5"/>
    <w:rsid w:val="001B0770"/>
    <w:rsid w:val="001B12C7"/>
    <w:rsid w:val="001B212B"/>
    <w:rsid w:val="001B3C07"/>
    <w:rsid w:val="001B45D8"/>
    <w:rsid w:val="001B4F97"/>
    <w:rsid w:val="001B56E1"/>
    <w:rsid w:val="001B6014"/>
    <w:rsid w:val="001B6939"/>
    <w:rsid w:val="001B6D06"/>
    <w:rsid w:val="001C0029"/>
    <w:rsid w:val="001C10DF"/>
    <w:rsid w:val="001C1AD5"/>
    <w:rsid w:val="001C33C1"/>
    <w:rsid w:val="001C34F6"/>
    <w:rsid w:val="001C37D6"/>
    <w:rsid w:val="001C4A7B"/>
    <w:rsid w:val="001C55FF"/>
    <w:rsid w:val="001C6874"/>
    <w:rsid w:val="001C7288"/>
    <w:rsid w:val="001D1603"/>
    <w:rsid w:val="001D2E96"/>
    <w:rsid w:val="001D5564"/>
    <w:rsid w:val="001D79EC"/>
    <w:rsid w:val="001D7BA1"/>
    <w:rsid w:val="001E06B6"/>
    <w:rsid w:val="001E081F"/>
    <w:rsid w:val="001E3AC7"/>
    <w:rsid w:val="001E3B9C"/>
    <w:rsid w:val="001E3F15"/>
    <w:rsid w:val="001E5661"/>
    <w:rsid w:val="001E59D7"/>
    <w:rsid w:val="001E78E1"/>
    <w:rsid w:val="001F037F"/>
    <w:rsid w:val="001F1AFB"/>
    <w:rsid w:val="001F1D40"/>
    <w:rsid w:val="001F2387"/>
    <w:rsid w:val="001F2E64"/>
    <w:rsid w:val="001F3A79"/>
    <w:rsid w:val="001F5FE1"/>
    <w:rsid w:val="001F6127"/>
    <w:rsid w:val="001F773B"/>
    <w:rsid w:val="0020042C"/>
    <w:rsid w:val="00200AE1"/>
    <w:rsid w:val="00200CF2"/>
    <w:rsid w:val="002022DC"/>
    <w:rsid w:val="00202A0B"/>
    <w:rsid w:val="002039B6"/>
    <w:rsid w:val="00203D61"/>
    <w:rsid w:val="00204103"/>
    <w:rsid w:val="002046AA"/>
    <w:rsid w:val="00205810"/>
    <w:rsid w:val="002060B6"/>
    <w:rsid w:val="00206420"/>
    <w:rsid w:val="00206538"/>
    <w:rsid w:val="00210225"/>
    <w:rsid w:val="00210362"/>
    <w:rsid w:val="00210D23"/>
    <w:rsid w:val="00212460"/>
    <w:rsid w:val="002138AF"/>
    <w:rsid w:val="00213DE5"/>
    <w:rsid w:val="00213F76"/>
    <w:rsid w:val="00214E0D"/>
    <w:rsid w:val="002150D0"/>
    <w:rsid w:val="00216F45"/>
    <w:rsid w:val="00220EB5"/>
    <w:rsid w:val="00222F68"/>
    <w:rsid w:val="00223100"/>
    <w:rsid w:val="0022384A"/>
    <w:rsid w:val="002249D6"/>
    <w:rsid w:val="0022650D"/>
    <w:rsid w:val="0023022E"/>
    <w:rsid w:val="00230557"/>
    <w:rsid w:val="00231463"/>
    <w:rsid w:val="00231E86"/>
    <w:rsid w:val="002327D3"/>
    <w:rsid w:val="00233C3E"/>
    <w:rsid w:val="0023404B"/>
    <w:rsid w:val="002341D7"/>
    <w:rsid w:val="00235764"/>
    <w:rsid w:val="0023576B"/>
    <w:rsid w:val="00236B47"/>
    <w:rsid w:val="00236E42"/>
    <w:rsid w:val="00236E96"/>
    <w:rsid w:val="00237842"/>
    <w:rsid w:val="00237B80"/>
    <w:rsid w:val="00241462"/>
    <w:rsid w:val="002416D9"/>
    <w:rsid w:val="002423C6"/>
    <w:rsid w:val="00244AC5"/>
    <w:rsid w:val="002462F9"/>
    <w:rsid w:val="002464C6"/>
    <w:rsid w:val="00247032"/>
    <w:rsid w:val="00250200"/>
    <w:rsid w:val="0025225F"/>
    <w:rsid w:val="00252EFF"/>
    <w:rsid w:val="002533C7"/>
    <w:rsid w:val="00253845"/>
    <w:rsid w:val="00253925"/>
    <w:rsid w:val="00253C21"/>
    <w:rsid w:val="002543E1"/>
    <w:rsid w:val="00254431"/>
    <w:rsid w:val="00255297"/>
    <w:rsid w:val="002555AF"/>
    <w:rsid w:val="00255734"/>
    <w:rsid w:val="00255EF5"/>
    <w:rsid w:val="00257AA6"/>
    <w:rsid w:val="002620BB"/>
    <w:rsid w:val="002626D4"/>
    <w:rsid w:val="00263C1F"/>
    <w:rsid w:val="00265087"/>
    <w:rsid w:val="0026513E"/>
    <w:rsid w:val="0026546C"/>
    <w:rsid w:val="00266E9A"/>
    <w:rsid w:val="002675FA"/>
    <w:rsid w:val="00270365"/>
    <w:rsid w:val="00270E35"/>
    <w:rsid w:val="00273AAA"/>
    <w:rsid w:val="00274CB1"/>
    <w:rsid w:val="00275EFB"/>
    <w:rsid w:val="00276FEC"/>
    <w:rsid w:val="00277C59"/>
    <w:rsid w:val="0028046C"/>
    <w:rsid w:val="00281C93"/>
    <w:rsid w:val="0028200D"/>
    <w:rsid w:val="00282D23"/>
    <w:rsid w:val="00282FF0"/>
    <w:rsid w:val="00283AEE"/>
    <w:rsid w:val="00283D99"/>
    <w:rsid w:val="00284737"/>
    <w:rsid w:val="0028596A"/>
    <w:rsid w:val="00287363"/>
    <w:rsid w:val="00287543"/>
    <w:rsid w:val="002879C2"/>
    <w:rsid w:val="00287B39"/>
    <w:rsid w:val="00290196"/>
    <w:rsid w:val="00291498"/>
    <w:rsid w:val="0029193B"/>
    <w:rsid w:val="00291F75"/>
    <w:rsid w:val="002923D3"/>
    <w:rsid w:val="0029311D"/>
    <w:rsid w:val="0029453D"/>
    <w:rsid w:val="00295490"/>
    <w:rsid w:val="002A0A3A"/>
    <w:rsid w:val="002A1690"/>
    <w:rsid w:val="002A2B40"/>
    <w:rsid w:val="002A39FB"/>
    <w:rsid w:val="002A49EA"/>
    <w:rsid w:val="002A60DF"/>
    <w:rsid w:val="002A6F2F"/>
    <w:rsid w:val="002B03C9"/>
    <w:rsid w:val="002B2335"/>
    <w:rsid w:val="002B34AB"/>
    <w:rsid w:val="002B3E7F"/>
    <w:rsid w:val="002B3F70"/>
    <w:rsid w:val="002B45F0"/>
    <w:rsid w:val="002B48BE"/>
    <w:rsid w:val="002B571C"/>
    <w:rsid w:val="002B59F6"/>
    <w:rsid w:val="002B5C9F"/>
    <w:rsid w:val="002B6AB1"/>
    <w:rsid w:val="002B6FAF"/>
    <w:rsid w:val="002B7D1D"/>
    <w:rsid w:val="002C2297"/>
    <w:rsid w:val="002C2CB3"/>
    <w:rsid w:val="002C3085"/>
    <w:rsid w:val="002C39BE"/>
    <w:rsid w:val="002C39E3"/>
    <w:rsid w:val="002C4551"/>
    <w:rsid w:val="002C55AA"/>
    <w:rsid w:val="002C628F"/>
    <w:rsid w:val="002C6B55"/>
    <w:rsid w:val="002C74D8"/>
    <w:rsid w:val="002C77F5"/>
    <w:rsid w:val="002C7B97"/>
    <w:rsid w:val="002C7EAB"/>
    <w:rsid w:val="002D0E83"/>
    <w:rsid w:val="002D1541"/>
    <w:rsid w:val="002D2DAD"/>
    <w:rsid w:val="002D3379"/>
    <w:rsid w:val="002D3FDE"/>
    <w:rsid w:val="002E09EB"/>
    <w:rsid w:val="002E208A"/>
    <w:rsid w:val="002E24BC"/>
    <w:rsid w:val="002E3533"/>
    <w:rsid w:val="002E4895"/>
    <w:rsid w:val="002E5224"/>
    <w:rsid w:val="002E5B05"/>
    <w:rsid w:val="002E69CF"/>
    <w:rsid w:val="002E7E43"/>
    <w:rsid w:val="002F03DF"/>
    <w:rsid w:val="002F1A69"/>
    <w:rsid w:val="002F1AF5"/>
    <w:rsid w:val="002F24CB"/>
    <w:rsid w:val="002F56DA"/>
    <w:rsid w:val="002F605E"/>
    <w:rsid w:val="002F61DB"/>
    <w:rsid w:val="002F6404"/>
    <w:rsid w:val="002F771C"/>
    <w:rsid w:val="002F796B"/>
    <w:rsid w:val="0030471C"/>
    <w:rsid w:val="003049A4"/>
    <w:rsid w:val="003050C5"/>
    <w:rsid w:val="00306985"/>
    <w:rsid w:val="00307963"/>
    <w:rsid w:val="003104FC"/>
    <w:rsid w:val="00310C81"/>
    <w:rsid w:val="0031147C"/>
    <w:rsid w:val="00311A07"/>
    <w:rsid w:val="0031483E"/>
    <w:rsid w:val="003150D4"/>
    <w:rsid w:val="0031511E"/>
    <w:rsid w:val="00316D09"/>
    <w:rsid w:val="00317671"/>
    <w:rsid w:val="00317974"/>
    <w:rsid w:val="00320E43"/>
    <w:rsid w:val="003221F3"/>
    <w:rsid w:val="0032337D"/>
    <w:rsid w:val="003259AC"/>
    <w:rsid w:val="00326552"/>
    <w:rsid w:val="0032689A"/>
    <w:rsid w:val="003308CC"/>
    <w:rsid w:val="00332523"/>
    <w:rsid w:val="00332748"/>
    <w:rsid w:val="0033298E"/>
    <w:rsid w:val="00333483"/>
    <w:rsid w:val="00333666"/>
    <w:rsid w:val="00334A1B"/>
    <w:rsid w:val="003354AE"/>
    <w:rsid w:val="00335EDD"/>
    <w:rsid w:val="00340522"/>
    <w:rsid w:val="00341198"/>
    <w:rsid w:val="003427CF"/>
    <w:rsid w:val="0034297A"/>
    <w:rsid w:val="00343F06"/>
    <w:rsid w:val="00345C02"/>
    <w:rsid w:val="0034644A"/>
    <w:rsid w:val="00346454"/>
    <w:rsid w:val="00347841"/>
    <w:rsid w:val="00350C0C"/>
    <w:rsid w:val="0035198B"/>
    <w:rsid w:val="00353113"/>
    <w:rsid w:val="00355E58"/>
    <w:rsid w:val="00356F07"/>
    <w:rsid w:val="0036048F"/>
    <w:rsid w:val="003605AB"/>
    <w:rsid w:val="00361E3D"/>
    <w:rsid w:val="003627F2"/>
    <w:rsid w:val="003649AC"/>
    <w:rsid w:val="003654FB"/>
    <w:rsid w:val="003661A7"/>
    <w:rsid w:val="0037021A"/>
    <w:rsid w:val="00370E54"/>
    <w:rsid w:val="00371E91"/>
    <w:rsid w:val="003722D5"/>
    <w:rsid w:val="0037383E"/>
    <w:rsid w:val="0037542F"/>
    <w:rsid w:val="003775F2"/>
    <w:rsid w:val="003806F3"/>
    <w:rsid w:val="00381BC9"/>
    <w:rsid w:val="003833AF"/>
    <w:rsid w:val="003849E4"/>
    <w:rsid w:val="00385547"/>
    <w:rsid w:val="00386AE1"/>
    <w:rsid w:val="00386D4D"/>
    <w:rsid w:val="00390E26"/>
    <w:rsid w:val="00391010"/>
    <w:rsid w:val="00392256"/>
    <w:rsid w:val="0039447A"/>
    <w:rsid w:val="00394C75"/>
    <w:rsid w:val="003954D7"/>
    <w:rsid w:val="003966E1"/>
    <w:rsid w:val="00397767"/>
    <w:rsid w:val="0039779A"/>
    <w:rsid w:val="003A0244"/>
    <w:rsid w:val="003A09EB"/>
    <w:rsid w:val="003A0C2B"/>
    <w:rsid w:val="003A10FB"/>
    <w:rsid w:val="003A2F7C"/>
    <w:rsid w:val="003A3183"/>
    <w:rsid w:val="003A442B"/>
    <w:rsid w:val="003A44E1"/>
    <w:rsid w:val="003A481B"/>
    <w:rsid w:val="003A5F32"/>
    <w:rsid w:val="003A6BAF"/>
    <w:rsid w:val="003A7181"/>
    <w:rsid w:val="003A787F"/>
    <w:rsid w:val="003A7E43"/>
    <w:rsid w:val="003B1C81"/>
    <w:rsid w:val="003B3480"/>
    <w:rsid w:val="003B4B03"/>
    <w:rsid w:val="003B60F3"/>
    <w:rsid w:val="003B734C"/>
    <w:rsid w:val="003B79E6"/>
    <w:rsid w:val="003B7AE8"/>
    <w:rsid w:val="003B7F65"/>
    <w:rsid w:val="003C0A07"/>
    <w:rsid w:val="003C10BE"/>
    <w:rsid w:val="003C1305"/>
    <w:rsid w:val="003C17A3"/>
    <w:rsid w:val="003C188A"/>
    <w:rsid w:val="003C4129"/>
    <w:rsid w:val="003C4564"/>
    <w:rsid w:val="003C4B7C"/>
    <w:rsid w:val="003D03DD"/>
    <w:rsid w:val="003D04EA"/>
    <w:rsid w:val="003D05E8"/>
    <w:rsid w:val="003D1785"/>
    <w:rsid w:val="003D197B"/>
    <w:rsid w:val="003D2666"/>
    <w:rsid w:val="003D3B88"/>
    <w:rsid w:val="003D3BFA"/>
    <w:rsid w:val="003D50BB"/>
    <w:rsid w:val="003D5270"/>
    <w:rsid w:val="003D69E5"/>
    <w:rsid w:val="003D7F81"/>
    <w:rsid w:val="003E34C7"/>
    <w:rsid w:val="003E361A"/>
    <w:rsid w:val="003E3A15"/>
    <w:rsid w:val="003E4C5F"/>
    <w:rsid w:val="003E4F4A"/>
    <w:rsid w:val="003E50DD"/>
    <w:rsid w:val="003E5812"/>
    <w:rsid w:val="003E6D41"/>
    <w:rsid w:val="003E78AE"/>
    <w:rsid w:val="003F0D06"/>
    <w:rsid w:val="003F21DE"/>
    <w:rsid w:val="003F3057"/>
    <w:rsid w:val="003F3107"/>
    <w:rsid w:val="003F315A"/>
    <w:rsid w:val="003F3AE0"/>
    <w:rsid w:val="003F4223"/>
    <w:rsid w:val="003F51DF"/>
    <w:rsid w:val="003F5B41"/>
    <w:rsid w:val="003F5B6A"/>
    <w:rsid w:val="003F6BD4"/>
    <w:rsid w:val="003F79C9"/>
    <w:rsid w:val="004036FF"/>
    <w:rsid w:val="004037BF"/>
    <w:rsid w:val="00403A0D"/>
    <w:rsid w:val="0040643E"/>
    <w:rsid w:val="00406556"/>
    <w:rsid w:val="004065F5"/>
    <w:rsid w:val="004073F6"/>
    <w:rsid w:val="0040768C"/>
    <w:rsid w:val="00407B36"/>
    <w:rsid w:val="00410140"/>
    <w:rsid w:val="00410D67"/>
    <w:rsid w:val="00412F65"/>
    <w:rsid w:val="00415FE3"/>
    <w:rsid w:val="00422283"/>
    <w:rsid w:val="00422328"/>
    <w:rsid w:val="004229D0"/>
    <w:rsid w:val="0042330B"/>
    <w:rsid w:val="004239C8"/>
    <w:rsid w:val="00424EC3"/>
    <w:rsid w:val="0043161D"/>
    <w:rsid w:val="00434641"/>
    <w:rsid w:val="00440039"/>
    <w:rsid w:val="004402F6"/>
    <w:rsid w:val="00440475"/>
    <w:rsid w:val="004416EE"/>
    <w:rsid w:val="00441E60"/>
    <w:rsid w:val="0044359F"/>
    <w:rsid w:val="00446EFE"/>
    <w:rsid w:val="00450D1B"/>
    <w:rsid w:val="00455A07"/>
    <w:rsid w:val="00455A19"/>
    <w:rsid w:val="0045631C"/>
    <w:rsid w:val="004564BB"/>
    <w:rsid w:val="00462FE2"/>
    <w:rsid w:val="00463427"/>
    <w:rsid w:val="004642DF"/>
    <w:rsid w:val="00465FC8"/>
    <w:rsid w:val="00467238"/>
    <w:rsid w:val="00471C31"/>
    <w:rsid w:val="00471F79"/>
    <w:rsid w:val="00473747"/>
    <w:rsid w:val="00475E41"/>
    <w:rsid w:val="0048145C"/>
    <w:rsid w:val="00483D09"/>
    <w:rsid w:val="0048454B"/>
    <w:rsid w:val="004862DB"/>
    <w:rsid w:val="00486625"/>
    <w:rsid w:val="00487296"/>
    <w:rsid w:val="00490726"/>
    <w:rsid w:val="00491063"/>
    <w:rsid w:val="004912AC"/>
    <w:rsid w:val="0049151A"/>
    <w:rsid w:val="0049198F"/>
    <w:rsid w:val="00492690"/>
    <w:rsid w:val="0049283F"/>
    <w:rsid w:val="004930D6"/>
    <w:rsid w:val="00493338"/>
    <w:rsid w:val="00494408"/>
    <w:rsid w:val="00496549"/>
    <w:rsid w:val="00496FB5"/>
    <w:rsid w:val="0049757F"/>
    <w:rsid w:val="00497622"/>
    <w:rsid w:val="004A03AF"/>
    <w:rsid w:val="004A0D7F"/>
    <w:rsid w:val="004A10E3"/>
    <w:rsid w:val="004A1188"/>
    <w:rsid w:val="004A16D6"/>
    <w:rsid w:val="004A1AD3"/>
    <w:rsid w:val="004A25F8"/>
    <w:rsid w:val="004A2A73"/>
    <w:rsid w:val="004A2F82"/>
    <w:rsid w:val="004A4EEB"/>
    <w:rsid w:val="004A6D6A"/>
    <w:rsid w:val="004A6F28"/>
    <w:rsid w:val="004A74C3"/>
    <w:rsid w:val="004A7797"/>
    <w:rsid w:val="004A77A6"/>
    <w:rsid w:val="004A7FB9"/>
    <w:rsid w:val="004B0D26"/>
    <w:rsid w:val="004B58CC"/>
    <w:rsid w:val="004C2961"/>
    <w:rsid w:val="004C2CA6"/>
    <w:rsid w:val="004C3852"/>
    <w:rsid w:val="004C3C12"/>
    <w:rsid w:val="004C45D9"/>
    <w:rsid w:val="004C64D4"/>
    <w:rsid w:val="004C73FC"/>
    <w:rsid w:val="004D0586"/>
    <w:rsid w:val="004D10C8"/>
    <w:rsid w:val="004D1296"/>
    <w:rsid w:val="004D1CCB"/>
    <w:rsid w:val="004D27A0"/>
    <w:rsid w:val="004D6DB3"/>
    <w:rsid w:val="004E1D64"/>
    <w:rsid w:val="004E1D84"/>
    <w:rsid w:val="004E26E6"/>
    <w:rsid w:val="004E2BB8"/>
    <w:rsid w:val="004E2EC1"/>
    <w:rsid w:val="004E4860"/>
    <w:rsid w:val="004E4D59"/>
    <w:rsid w:val="004E58A8"/>
    <w:rsid w:val="004E5F7A"/>
    <w:rsid w:val="004E7EAA"/>
    <w:rsid w:val="004F0C1A"/>
    <w:rsid w:val="004F1637"/>
    <w:rsid w:val="004F16B3"/>
    <w:rsid w:val="004F182B"/>
    <w:rsid w:val="004F23AA"/>
    <w:rsid w:val="004F259B"/>
    <w:rsid w:val="004F4BE9"/>
    <w:rsid w:val="004F5035"/>
    <w:rsid w:val="004F579B"/>
    <w:rsid w:val="004F5F1D"/>
    <w:rsid w:val="004F6370"/>
    <w:rsid w:val="004F7C4C"/>
    <w:rsid w:val="00500164"/>
    <w:rsid w:val="00500812"/>
    <w:rsid w:val="00503B92"/>
    <w:rsid w:val="00503D6F"/>
    <w:rsid w:val="00506644"/>
    <w:rsid w:val="00506FC8"/>
    <w:rsid w:val="005105E7"/>
    <w:rsid w:val="00510910"/>
    <w:rsid w:val="00510B4B"/>
    <w:rsid w:val="00512E3B"/>
    <w:rsid w:val="005139CA"/>
    <w:rsid w:val="00513D3F"/>
    <w:rsid w:val="00513D6D"/>
    <w:rsid w:val="005164EE"/>
    <w:rsid w:val="0051694B"/>
    <w:rsid w:val="0051718D"/>
    <w:rsid w:val="00520A5C"/>
    <w:rsid w:val="00520C44"/>
    <w:rsid w:val="00520FAF"/>
    <w:rsid w:val="00524583"/>
    <w:rsid w:val="00524F7C"/>
    <w:rsid w:val="005252B4"/>
    <w:rsid w:val="005253B5"/>
    <w:rsid w:val="00526602"/>
    <w:rsid w:val="0052699E"/>
    <w:rsid w:val="00527ABA"/>
    <w:rsid w:val="00531D9C"/>
    <w:rsid w:val="00532502"/>
    <w:rsid w:val="00533047"/>
    <w:rsid w:val="00533AFB"/>
    <w:rsid w:val="00533D83"/>
    <w:rsid w:val="00536327"/>
    <w:rsid w:val="00536FB5"/>
    <w:rsid w:val="00541316"/>
    <w:rsid w:val="0054176F"/>
    <w:rsid w:val="00541827"/>
    <w:rsid w:val="0054216A"/>
    <w:rsid w:val="005428A7"/>
    <w:rsid w:val="00545248"/>
    <w:rsid w:val="00546843"/>
    <w:rsid w:val="00546CAC"/>
    <w:rsid w:val="00546CAE"/>
    <w:rsid w:val="00546FE6"/>
    <w:rsid w:val="005475DD"/>
    <w:rsid w:val="00547BB3"/>
    <w:rsid w:val="005509EF"/>
    <w:rsid w:val="00551C16"/>
    <w:rsid w:val="00552B53"/>
    <w:rsid w:val="005534C9"/>
    <w:rsid w:val="005543C7"/>
    <w:rsid w:val="00555223"/>
    <w:rsid w:val="00556A3B"/>
    <w:rsid w:val="00557371"/>
    <w:rsid w:val="00557373"/>
    <w:rsid w:val="005602BF"/>
    <w:rsid w:val="005611FD"/>
    <w:rsid w:val="0056482B"/>
    <w:rsid w:val="00564B80"/>
    <w:rsid w:val="00565967"/>
    <w:rsid w:val="00565C17"/>
    <w:rsid w:val="0056668D"/>
    <w:rsid w:val="00566CB7"/>
    <w:rsid w:val="00566FA0"/>
    <w:rsid w:val="00567687"/>
    <w:rsid w:val="0056789F"/>
    <w:rsid w:val="005679B3"/>
    <w:rsid w:val="00567DB6"/>
    <w:rsid w:val="0057016B"/>
    <w:rsid w:val="005709BA"/>
    <w:rsid w:val="00570D39"/>
    <w:rsid w:val="0057102E"/>
    <w:rsid w:val="00572DD0"/>
    <w:rsid w:val="0057461A"/>
    <w:rsid w:val="005746CC"/>
    <w:rsid w:val="00574DA4"/>
    <w:rsid w:val="00575101"/>
    <w:rsid w:val="00575182"/>
    <w:rsid w:val="00577744"/>
    <w:rsid w:val="00577ED9"/>
    <w:rsid w:val="00581A88"/>
    <w:rsid w:val="005827AB"/>
    <w:rsid w:val="00582D4D"/>
    <w:rsid w:val="0058300E"/>
    <w:rsid w:val="00584345"/>
    <w:rsid w:val="005849FB"/>
    <w:rsid w:val="0058752C"/>
    <w:rsid w:val="00587FFE"/>
    <w:rsid w:val="00590395"/>
    <w:rsid w:val="00590BA3"/>
    <w:rsid w:val="0059161B"/>
    <w:rsid w:val="00591AB6"/>
    <w:rsid w:val="0059218A"/>
    <w:rsid w:val="00592B33"/>
    <w:rsid w:val="00592D3A"/>
    <w:rsid w:val="005931E2"/>
    <w:rsid w:val="0059326A"/>
    <w:rsid w:val="00593ED4"/>
    <w:rsid w:val="005940A3"/>
    <w:rsid w:val="0059418B"/>
    <w:rsid w:val="00594282"/>
    <w:rsid w:val="005951F0"/>
    <w:rsid w:val="00595657"/>
    <w:rsid w:val="00595CA1"/>
    <w:rsid w:val="0059610D"/>
    <w:rsid w:val="00597233"/>
    <w:rsid w:val="00597E0A"/>
    <w:rsid w:val="005A025E"/>
    <w:rsid w:val="005A0A59"/>
    <w:rsid w:val="005A0EF8"/>
    <w:rsid w:val="005A2F1D"/>
    <w:rsid w:val="005A3349"/>
    <w:rsid w:val="005A47CE"/>
    <w:rsid w:val="005A4D69"/>
    <w:rsid w:val="005A4E6A"/>
    <w:rsid w:val="005A5C42"/>
    <w:rsid w:val="005A7E0C"/>
    <w:rsid w:val="005B040F"/>
    <w:rsid w:val="005B0E3F"/>
    <w:rsid w:val="005B1FC0"/>
    <w:rsid w:val="005B2AB4"/>
    <w:rsid w:val="005B2BE6"/>
    <w:rsid w:val="005B5BEF"/>
    <w:rsid w:val="005B711F"/>
    <w:rsid w:val="005C0DAE"/>
    <w:rsid w:val="005C11A7"/>
    <w:rsid w:val="005C1DBE"/>
    <w:rsid w:val="005C2EB1"/>
    <w:rsid w:val="005C2FBC"/>
    <w:rsid w:val="005C31FA"/>
    <w:rsid w:val="005C46D8"/>
    <w:rsid w:val="005C4A13"/>
    <w:rsid w:val="005C70B9"/>
    <w:rsid w:val="005C794C"/>
    <w:rsid w:val="005D020A"/>
    <w:rsid w:val="005D07BD"/>
    <w:rsid w:val="005D0A0D"/>
    <w:rsid w:val="005D18D4"/>
    <w:rsid w:val="005D2018"/>
    <w:rsid w:val="005D230C"/>
    <w:rsid w:val="005D24D3"/>
    <w:rsid w:val="005D3BD5"/>
    <w:rsid w:val="005D6907"/>
    <w:rsid w:val="005D76B5"/>
    <w:rsid w:val="005E1026"/>
    <w:rsid w:val="005E1916"/>
    <w:rsid w:val="005E1A77"/>
    <w:rsid w:val="005E1AC0"/>
    <w:rsid w:val="005E2C1D"/>
    <w:rsid w:val="005E3999"/>
    <w:rsid w:val="005E51A5"/>
    <w:rsid w:val="005E6D7E"/>
    <w:rsid w:val="005E6DBA"/>
    <w:rsid w:val="005E760C"/>
    <w:rsid w:val="005F01B3"/>
    <w:rsid w:val="005F1C6A"/>
    <w:rsid w:val="005F2278"/>
    <w:rsid w:val="005F3AA0"/>
    <w:rsid w:val="005F4B26"/>
    <w:rsid w:val="005F5939"/>
    <w:rsid w:val="00601AAC"/>
    <w:rsid w:val="0060503A"/>
    <w:rsid w:val="0060602D"/>
    <w:rsid w:val="006063DB"/>
    <w:rsid w:val="006065B0"/>
    <w:rsid w:val="00606F5A"/>
    <w:rsid w:val="00606F8F"/>
    <w:rsid w:val="006122FD"/>
    <w:rsid w:val="00612AA0"/>
    <w:rsid w:val="0061346F"/>
    <w:rsid w:val="00613DD2"/>
    <w:rsid w:val="00613F33"/>
    <w:rsid w:val="00614240"/>
    <w:rsid w:val="006179B5"/>
    <w:rsid w:val="00620508"/>
    <w:rsid w:val="00620EA0"/>
    <w:rsid w:val="00621940"/>
    <w:rsid w:val="0062290B"/>
    <w:rsid w:val="006231CD"/>
    <w:rsid w:val="0062391D"/>
    <w:rsid w:val="00623B01"/>
    <w:rsid w:val="0062434F"/>
    <w:rsid w:val="00624A68"/>
    <w:rsid w:val="00626756"/>
    <w:rsid w:val="00627AEF"/>
    <w:rsid w:val="006334E4"/>
    <w:rsid w:val="00634B55"/>
    <w:rsid w:val="00634C9A"/>
    <w:rsid w:val="006351EF"/>
    <w:rsid w:val="00635B2F"/>
    <w:rsid w:val="006369F3"/>
    <w:rsid w:val="006370CA"/>
    <w:rsid w:val="0063723F"/>
    <w:rsid w:val="006374D8"/>
    <w:rsid w:val="00642878"/>
    <w:rsid w:val="00643097"/>
    <w:rsid w:val="0064370B"/>
    <w:rsid w:val="00643972"/>
    <w:rsid w:val="0064454F"/>
    <w:rsid w:val="0064545A"/>
    <w:rsid w:val="00645B4A"/>
    <w:rsid w:val="00646DBE"/>
    <w:rsid w:val="00647418"/>
    <w:rsid w:val="00647914"/>
    <w:rsid w:val="00647B8A"/>
    <w:rsid w:val="006520AB"/>
    <w:rsid w:val="00652280"/>
    <w:rsid w:val="00653237"/>
    <w:rsid w:val="0065342B"/>
    <w:rsid w:val="00653FDD"/>
    <w:rsid w:val="006559FE"/>
    <w:rsid w:val="00655C05"/>
    <w:rsid w:val="0065652B"/>
    <w:rsid w:val="006569CD"/>
    <w:rsid w:val="00656ECA"/>
    <w:rsid w:val="00657EB7"/>
    <w:rsid w:val="0066024A"/>
    <w:rsid w:val="006605D0"/>
    <w:rsid w:val="00660657"/>
    <w:rsid w:val="006618AB"/>
    <w:rsid w:val="00662BC9"/>
    <w:rsid w:val="0066351C"/>
    <w:rsid w:val="00663822"/>
    <w:rsid w:val="00665585"/>
    <w:rsid w:val="00665AC3"/>
    <w:rsid w:val="00665ADB"/>
    <w:rsid w:val="00665FD1"/>
    <w:rsid w:val="0066684C"/>
    <w:rsid w:val="006669F1"/>
    <w:rsid w:val="006676C7"/>
    <w:rsid w:val="00667BE6"/>
    <w:rsid w:val="006702FD"/>
    <w:rsid w:val="00671B6D"/>
    <w:rsid w:val="00673839"/>
    <w:rsid w:val="00674565"/>
    <w:rsid w:val="006745A9"/>
    <w:rsid w:val="00676CB0"/>
    <w:rsid w:val="00677A96"/>
    <w:rsid w:val="006811A7"/>
    <w:rsid w:val="00681305"/>
    <w:rsid w:val="006818FA"/>
    <w:rsid w:val="006821A3"/>
    <w:rsid w:val="00683795"/>
    <w:rsid w:val="00683F97"/>
    <w:rsid w:val="00684113"/>
    <w:rsid w:val="0068471D"/>
    <w:rsid w:val="00684C37"/>
    <w:rsid w:val="006857B8"/>
    <w:rsid w:val="00687B06"/>
    <w:rsid w:val="006907B7"/>
    <w:rsid w:val="006912CC"/>
    <w:rsid w:val="00692947"/>
    <w:rsid w:val="00692D1C"/>
    <w:rsid w:val="00693534"/>
    <w:rsid w:val="00693D0F"/>
    <w:rsid w:val="00697CA8"/>
    <w:rsid w:val="006A024A"/>
    <w:rsid w:val="006A0FFB"/>
    <w:rsid w:val="006A1267"/>
    <w:rsid w:val="006A13D1"/>
    <w:rsid w:val="006A1A78"/>
    <w:rsid w:val="006A2C32"/>
    <w:rsid w:val="006A3168"/>
    <w:rsid w:val="006A3C9E"/>
    <w:rsid w:val="006A561C"/>
    <w:rsid w:val="006A6566"/>
    <w:rsid w:val="006A7FF5"/>
    <w:rsid w:val="006B0AE8"/>
    <w:rsid w:val="006B2D66"/>
    <w:rsid w:val="006B3A99"/>
    <w:rsid w:val="006B3B8C"/>
    <w:rsid w:val="006B6562"/>
    <w:rsid w:val="006B72C5"/>
    <w:rsid w:val="006C006B"/>
    <w:rsid w:val="006C0D13"/>
    <w:rsid w:val="006C10D6"/>
    <w:rsid w:val="006C2DA2"/>
    <w:rsid w:val="006C3079"/>
    <w:rsid w:val="006C3251"/>
    <w:rsid w:val="006C6645"/>
    <w:rsid w:val="006C7FA1"/>
    <w:rsid w:val="006D0582"/>
    <w:rsid w:val="006D0B82"/>
    <w:rsid w:val="006D2717"/>
    <w:rsid w:val="006D4B35"/>
    <w:rsid w:val="006D7128"/>
    <w:rsid w:val="006D7359"/>
    <w:rsid w:val="006D75C1"/>
    <w:rsid w:val="006E0E17"/>
    <w:rsid w:val="006E2E0A"/>
    <w:rsid w:val="006E3C66"/>
    <w:rsid w:val="006E41F2"/>
    <w:rsid w:val="006E7344"/>
    <w:rsid w:val="006E74EB"/>
    <w:rsid w:val="006E7660"/>
    <w:rsid w:val="006F03F2"/>
    <w:rsid w:val="006F1258"/>
    <w:rsid w:val="006F1645"/>
    <w:rsid w:val="006F2112"/>
    <w:rsid w:val="006F5B8F"/>
    <w:rsid w:val="006F5DF6"/>
    <w:rsid w:val="006F673C"/>
    <w:rsid w:val="006F6B9E"/>
    <w:rsid w:val="006F744A"/>
    <w:rsid w:val="006F78DC"/>
    <w:rsid w:val="00700D39"/>
    <w:rsid w:val="00701E96"/>
    <w:rsid w:val="0070287D"/>
    <w:rsid w:val="00702EEA"/>
    <w:rsid w:val="00703BCE"/>
    <w:rsid w:val="00705909"/>
    <w:rsid w:val="0070713E"/>
    <w:rsid w:val="0070756E"/>
    <w:rsid w:val="007100A1"/>
    <w:rsid w:val="00710D7F"/>
    <w:rsid w:val="0071116C"/>
    <w:rsid w:val="00712CBA"/>
    <w:rsid w:val="007146D0"/>
    <w:rsid w:val="00716D5B"/>
    <w:rsid w:val="00717413"/>
    <w:rsid w:val="00717A31"/>
    <w:rsid w:val="00717BBC"/>
    <w:rsid w:val="007200D3"/>
    <w:rsid w:val="007224B4"/>
    <w:rsid w:val="00722857"/>
    <w:rsid w:val="007234BC"/>
    <w:rsid w:val="007239EE"/>
    <w:rsid w:val="00724500"/>
    <w:rsid w:val="00724AA9"/>
    <w:rsid w:val="00724BAE"/>
    <w:rsid w:val="00725BC7"/>
    <w:rsid w:val="00725E4A"/>
    <w:rsid w:val="00726972"/>
    <w:rsid w:val="00726FF5"/>
    <w:rsid w:val="00730009"/>
    <w:rsid w:val="00730A9C"/>
    <w:rsid w:val="00731E1C"/>
    <w:rsid w:val="0073215A"/>
    <w:rsid w:val="00733123"/>
    <w:rsid w:val="00733737"/>
    <w:rsid w:val="00733ABD"/>
    <w:rsid w:val="00734B4F"/>
    <w:rsid w:val="00736348"/>
    <w:rsid w:val="007368EB"/>
    <w:rsid w:val="007369E8"/>
    <w:rsid w:val="00737226"/>
    <w:rsid w:val="007373A3"/>
    <w:rsid w:val="00737716"/>
    <w:rsid w:val="00737C1F"/>
    <w:rsid w:val="00740031"/>
    <w:rsid w:val="007402FF"/>
    <w:rsid w:val="00740C7B"/>
    <w:rsid w:val="0074133A"/>
    <w:rsid w:val="00741A4F"/>
    <w:rsid w:val="00741FB6"/>
    <w:rsid w:val="00742AA2"/>
    <w:rsid w:val="00742DBA"/>
    <w:rsid w:val="00743C10"/>
    <w:rsid w:val="00744568"/>
    <w:rsid w:val="0074546C"/>
    <w:rsid w:val="007463B1"/>
    <w:rsid w:val="007471FB"/>
    <w:rsid w:val="00747BE5"/>
    <w:rsid w:val="00750EFB"/>
    <w:rsid w:val="00752014"/>
    <w:rsid w:val="007536C4"/>
    <w:rsid w:val="007545DB"/>
    <w:rsid w:val="0075524C"/>
    <w:rsid w:val="00755531"/>
    <w:rsid w:val="0075570E"/>
    <w:rsid w:val="007627B6"/>
    <w:rsid w:val="007628FE"/>
    <w:rsid w:val="007631A8"/>
    <w:rsid w:val="00763C4B"/>
    <w:rsid w:val="00764FA6"/>
    <w:rsid w:val="0076552D"/>
    <w:rsid w:val="00767BF0"/>
    <w:rsid w:val="00770462"/>
    <w:rsid w:val="0077252F"/>
    <w:rsid w:val="007726DB"/>
    <w:rsid w:val="007751FF"/>
    <w:rsid w:val="0077630E"/>
    <w:rsid w:val="00780AD7"/>
    <w:rsid w:val="007818D0"/>
    <w:rsid w:val="00782A33"/>
    <w:rsid w:val="00782C5D"/>
    <w:rsid w:val="00782FDB"/>
    <w:rsid w:val="00784757"/>
    <w:rsid w:val="00784961"/>
    <w:rsid w:val="00785879"/>
    <w:rsid w:val="007861A6"/>
    <w:rsid w:val="007875D6"/>
    <w:rsid w:val="00790C56"/>
    <w:rsid w:val="00790D15"/>
    <w:rsid w:val="00792184"/>
    <w:rsid w:val="0079254E"/>
    <w:rsid w:val="00792571"/>
    <w:rsid w:val="00793EAE"/>
    <w:rsid w:val="00794ACB"/>
    <w:rsid w:val="00794FCC"/>
    <w:rsid w:val="00796224"/>
    <w:rsid w:val="007962FF"/>
    <w:rsid w:val="007965C3"/>
    <w:rsid w:val="00796C24"/>
    <w:rsid w:val="0079755C"/>
    <w:rsid w:val="007A24E1"/>
    <w:rsid w:val="007A3492"/>
    <w:rsid w:val="007A451F"/>
    <w:rsid w:val="007A4D2A"/>
    <w:rsid w:val="007A50D9"/>
    <w:rsid w:val="007A51C7"/>
    <w:rsid w:val="007A59A4"/>
    <w:rsid w:val="007A5CB3"/>
    <w:rsid w:val="007A6217"/>
    <w:rsid w:val="007A6378"/>
    <w:rsid w:val="007A6450"/>
    <w:rsid w:val="007A69FA"/>
    <w:rsid w:val="007A7081"/>
    <w:rsid w:val="007A7145"/>
    <w:rsid w:val="007B0088"/>
    <w:rsid w:val="007B2ACF"/>
    <w:rsid w:val="007B3946"/>
    <w:rsid w:val="007B4133"/>
    <w:rsid w:val="007B4516"/>
    <w:rsid w:val="007B52F1"/>
    <w:rsid w:val="007B69AD"/>
    <w:rsid w:val="007B6A14"/>
    <w:rsid w:val="007B6C7E"/>
    <w:rsid w:val="007B6DCE"/>
    <w:rsid w:val="007C09F0"/>
    <w:rsid w:val="007C2315"/>
    <w:rsid w:val="007C39C1"/>
    <w:rsid w:val="007C56FE"/>
    <w:rsid w:val="007C70EE"/>
    <w:rsid w:val="007C7A58"/>
    <w:rsid w:val="007D1C7B"/>
    <w:rsid w:val="007D66CC"/>
    <w:rsid w:val="007E1B03"/>
    <w:rsid w:val="007E1F74"/>
    <w:rsid w:val="007E3DAE"/>
    <w:rsid w:val="007E4401"/>
    <w:rsid w:val="007E62F0"/>
    <w:rsid w:val="007E68FA"/>
    <w:rsid w:val="007F09D7"/>
    <w:rsid w:val="007F0A18"/>
    <w:rsid w:val="007F14A1"/>
    <w:rsid w:val="007F17ED"/>
    <w:rsid w:val="007F1850"/>
    <w:rsid w:val="007F18EE"/>
    <w:rsid w:val="007F29D5"/>
    <w:rsid w:val="007F3C2F"/>
    <w:rsid w:val="007F754B"/>
    <w:rsid w:val="007F777D"/>
    <w:rsid w:val="007F7C39"/>
    <w:rsid w:val="00800247"/>
    <w:rsid w:val="008018AB"/>
    <w:rsid w:val="00801EDB"/>
    <w:rsid w:val="008021B4"/>
    <w:rsid w:val="0080317D"/>
    <w:rsid w:val="00803B5B"/>
    <w:rsid w:val="00804D36"/>
    <w:rsid w:val="008073ED"/>
    <w:rsid w:val="00807945"/>
    <w:rsid w:val="00810409"/>
    <w:rsid w:val="008105D2"/>
    <w:rsid w:val="00810C50"/>
    <w:rsid w:val="0081160D"/>
    <w:rsid w:val="00811A3A"/>
    <w:rsid w:val="00812FC0"/>
    <w:rsid w:val="00813ABB"/>
    <w:rsid w:val="00813CDA"/>
    <w:rsid w:val="00815655"/>
    <w:rsid w:val="008164C7"/>
    <w:rsid w:val="00816B9B"/>
    <w:rsid w:val="00817238"/>
    <w:rsid w:val="008172E1"/>
    <w:rsid w:val="00820CF2"/>
    <w:rsid w:val="00821109"/>
    <w:rsid w:val="008217FC"/>
    <w:rsid w:val="00821928"/>
    <w:rsid w:val="00823F79"/>
    <w:rsid w:val="008259D2"/>
    <w:rsid w:val="008260FD"/>
    <w:rsid w:val="0082617D"/>
    <w:rsid w:val="0082636E"/>
    <w:rsid w:val="008309FD"/>
    <w:rsid w:val="00832C72"/>
    <w:rsid w:val="008332F5"/>
    <w:rsid w:val="00834004"/>
    <w:rsid w:val="00835666"/>
    <w:rsid w:val="00836DF7"/>
    <w:rsid w:val="00837B7E"/>
    <w:rsid w:val="00840235"/>
    <w:rsid w:val="00840645"/>
    <w:rsid w:val="00840FB1"/>
    <w:rsid w:val="0084236F"/>
    <w:rsid w:val="00842A6E"/>
    <w:rsid w:val="00843093"/>
    <w:rsid w:val="00843220"/>
    <w:rsid w:val="00843233"/>
    <w:rsid w:val="00843592"/>
    <w:rsid w:val="00844011"/>
    <w:rsid w:val="00844138"/>
    <w:rsid w:val="00844C62"/>
    <w:rsid w:val="00850FC8"/>
    <w:rsid w:val="008510E4"/>
    <w:rsid w:val="00851849"/>
    <w:rsid w:val="00851856"/>
    <w:rsid w:val="00851DAC"/>
    <w:rsid w:val="0085247E"/>
    <w:rsid w:val="0085265D"/>
    <w:rsid w:val="008542C6"/>
    <w:rsid w:val="008545E9"/>
    <w:rsid w:val="00854959"/>
    <w:rsid w:val="00855F9F"/>
    <w:rsid w:val="00856E4D"/>
    <w:rsid w:val="00857E3F"/>
    <w:rsid w:val="0086070B"/>
    <w:rsid w:val="008611F6"/>
    <w:rsid w:val="00862090"/>
    <w:rsid w:val="00862524"/>
    <w:rsid w:val="008648D3"/>
    <w:rsid w:val="00865E0F"/>
    <w:rsid w:val="00866017"/>
    <w:rsid w:val="0086636F"/>
    <w:rsid w:val="0086643B"/>
    <w:rsid w:val="008665FC"/>
    <w:rsid w:val="00867765"/>
    <w:rsid w:val="00870065"/>
    <w:rsid w:val="00870BE7"/>
    <w:rsid w:val="00872E08"/>
    <w:rsid w:val="0087331F"/>
    <w:rsid w:val="00873379"/>
    <w:rsid w:val="00873FDC"/>
    <w:rsid w:val="00874D4B"/>
    <w:rsid w:val="00874ED1"/>
    <w:rsid w:val="0087513B"/>
    <w:rsid w:val="008761BE"/>
    <w:rsid w:val="00877281"/>
    <w:rsid w:val="008773E3"/>
    <w:rsid w:val="00877A8A"/>
    <w:rsid w:val="008842D5"/>
    <w:rsid w:val="00885ED6"/>
    <w:rsid w:val="00886B4C"/>
    <w:rsid w:val="00891FF6"/>
    <w:rsid w:val="00892EE5"/>
    <w:rsid w:val="0089300D"/>
    <w:rsid w:val="00893FDD"/>
    <w:rsid w:val="00894451"/>
    <w:rsid w:val="0089496B"/>
    <w:rsid w:val="00894B64"/>
    <w:rsid w:val="00895392"/>
    <w:rsid w:val="008959E7"/>
    <w:rsid w:val="0089647A"/>
    <w:rsid w:val="008972AD"/>
    <w:rsid w:val="00897BE2"/>
    <w:rsid w:val="008A002D"/>
    <w:rsid w:val="008A106E"/>
    <w:rsid w:val="008A1417"/>
    <w:rsid w:val="008A1CE6"/>
    <w:rsid w:val="008A2B48"/>
    <w:rsid w:val="008A3390"/>
    <w:rsid w:val="008A4124"/>
    <w:rsid w:val="008A4AC8"/>
    <w:rsid w:val="008A6CD3"/>
    <w:rsid w:val="008A713A"/>
    <w:rsid w:val="008B0C59"/>
    <w:rsid w:val="008B22B5"/>
    <w:rsid w:val="008B52A8"/>
    <w:rsid w:val="008B5B36"/>
    <w:rsid w:val="008B5D2C"/>
    <w:rsid w:val="008B5FC3"/>
    <w:rsid w:val="008C00A3"/>
    <w:rsid w:val="008C0660"/>
    <w:rsid w:val="008C1495"/>
    <w:rsid w:val="008C6331"/>
    <w:rsid w:val="008C7C2C"/>
    <w:rsid w:val="008C7E82"/>
    <w:rsid w:val="008D0098"/>
    <w:rsid w:val="008D04ED"/>
    <w:rsid w:val="008D56C2"/>
    <w:rsid w:val="008D7A46"/>
    <w:rsid w:val="008E1BC8"/>
    <w:rsid w:val="008E1C22"/>
    <w:rsid w:val="008E206A"/>
    <w:rsid w:val="008E208B"/>
    <w:rsid w:val="008E42F6"/>
    <w:rsid w:val="008E5125"/>
    <w:rsid w:val="008E54E8"/>
    <w:rsid w:val="008E5A35"/>
    <w:rsid w:val="008E5D3F"/>
    <w:rsid w:val="008E6009"/>
    <w:rsid w:val="008F10AA"/>
    <w:rsid w:val="008F34D8"/>
    <w:rsid w:val="008F3A3D"/>
    <w:rsid w:val="008F5AB1"/>
    <w:rsid w:val="008F6345"/>
    <w:rsid w:val="008F6E3E"/>
    <w:rsid w:val="008F6F14"/>
    <w:rsid w:val="008F6FFB"/>
    <w:rsid w:val="008F74B4"/>
    <w:rsid w:val="008F7F54"/>
    <w:rsid w:val="009003CA"/>
    <w:rsid w:val="0090117F"/>
    <w:rsid w:val="00901365"/>
    <w:rsid w:val="00901791"/>
    <w:rsid w:val="00901989"/>
    <w:rsid w:val="0090253A"/>
    <w:rsid w:val="0090360C"/>
    <w:rsid w:val="00903C96"/>
    <w:rsid w:val="00903D9B"/>
    <w:rsid w:val="00903D9E"/>
    <w:rsid w:val="009044EB"/>
    <w:rsid w:val="00904D20"/>
    <w:rsid w:val="009056BA"/>
    <w:rsid w:val="00905F8C"/>
    <w:rsid w:val="00906EBD"/>
    <w:rsid w:val="00910A15"/>
    <w:rsid w:val="00910E33"/>
    <w:rsid w:val="00911CE8"/>
    <w:rsid w:val="009120BE"/>
    <w:rsid w:val="009124D6"/>
    <w:rsid w:val="00912AE6"/>
    <w:rsid w:val="009135CA"/>
    <w:rsid w:val="009135EC"/>
    <w:rsid w:val="009149B6"/>
    <w:rsid w:val="009164DB"/>
    <w:rsid w:val="009167CB"/>
    <w:rsid w:val="00916AD3"/>
    <w:rsid w:val="009171FB"/>
    <w:rsid w:val="009216B6"/>
    <w:rsid w:val="00921B4E"/>
    <w:rsid w:val="00922F69"/>
    <w:rsid w:val="00922F8B"/>
    <w:rsid w:val="00922FF6"/>
    <w:rsid w:val="00923447"/>
    <w:rsid w:val="009235B9"/>
    <w:rsid w:val="009237A5"/>
    <w:rsid w:val="00923A89"/>
    <w:rsid w:val="00923AAD"/>
    <w:rsid w:val="00924ABA"/>
    <w:rsid w:val="009263AB"/>
    <w:rsid w:val="00926F64"/>
    <w:rsid w:val="009270F6"/>
    <w:rsid w:val="009279C4"/>
    <w:rsid w:val="009308F8"/>
    <w:rsid w:val="00932182"/>
    <w:rsid w:val="00932798"/>
    <w:rsid w:val="00933413"/>
    <w:rsid w:val="009344A9"/>
    <w:rsid w:val="00934E5A"/>
    <w:rsid w:val="0093674F"/>
    <w:rsid w:val="00936811"/>
    <w:rsid w:val="00936CE3"/>
    <w:rsid w:val="00941BD6"/>
    <w:rsid w:val="00941E62"/>
    <w:rsid w:val="00942A5D"/>
    <w:rsid w:val="0094379C"/>
    <w:rsid w:val="00943C50"/>
    <w:rsid w:val="00943E93"/>
    <w:rsid w:val="009449C5"/>
    <w:rsid w:val="009461BE"/>
    <w:rsid w:val="009500C0"/>
    <w:rsid w:val="0095206C"/>
    <w:rsid w:val="0095260C"/>
    <w:rsid w:val="0095394C"/>
    <w:rsid w:val="00953E44"/>
    <w:rsid w:val="009541A2"/>
    <w:rsid w:val="009547C9"/>
    <w:rsid w:val="009548A1"/>
    <w:rsid w:val="00955D21"/>
    <w:rsid w:val="00956B3C"/>
    <w:rsid w:val="00956D5D"/>
    <w:rsid w:val="00957012"/>
    <w:rsid w:val="00957802"/>
    <w:rsid w:val="00957E4F"/>
    <w:rsid w:val="009604CF"/>
    <w:rsid w:val="00960598"/>
    <w:rsid w:val="009608B9"/>
    <w:rsid w:val="00961A04"/>
    <w:rsid w:val="00962492"/>
    <w:rsid w:val="00962F68"/>
    <w:rsid w:val="009632F4"/>
    <w:rsid w:val="0096529D"/>
    <w:rsid w:val="00965CEB"/>
    <w:rsid w:val="00965CF1"/>
    <w:rsid w:val="009676F6"/>
    <w:rsid w:val="00971A6E"/>
    <w:rsid w:val="00974B7F"/>
    <w:rsid w:val="00974EB4"/>
    <w:rsid w:val="009761A1"/>
    <w:rsid w:val="00976559"/>
    <w:rsid w:val="00981D5C"/>
    <w:rsid w:val="0098227C"/>
    <w:rsid w:val="009843F6"/>
    <w:rsid w:val="009851D6"/>
    <w:rsid w:val="009862D2"/>
    <w:rsid w:val="009865A5"/>
    <w:rsid w:val="00987053"/>
    <w:rsid w:val="00987298"/>
    <w:rsid w:val="009907FD"/>
    <w:rsid w:val="00991989"/>
    <w:rsid w:val="00993F72"/>
    <w:rsid w:val="00993FEC"/>
    <w:rsid w:val="009940C2"/>
    <w:rsid w:val="00995E59"/>
    <w:rsid w:val="0099698F"/>
    <w:rsid w:val="00996BC6"/>
    <w:rsid w:val="00997A82"/>
    <w:rsid w:val="009A0058"/>
    <w:rsid w:val="009A0B0D"/>
    <w:rsid w:val="009A165F"/>
    <w:rsid w:val="009A1CFD"/>
    <w:rsid w:val="009A2BCD"/>
    <w:rsid w:val="009A3813"/>
    <w:rsid w:val="009A4803"/>
    <w:rsid w:val="009A56D7"/>
    <w:rsid w:val="009A584B"/>
    <w:rsid w:val="009A6CB1"/>
    <w:rsid w:val="009B01C2"/>
    <w:rsid w:val="009B0EC8"/>
    <w:rsid w:val="009B3301"/>
    <w:rsid w:val="009C04DB"/>
    <w:rsid w:val="009C0AD2"/>
    <w:rsid w:val="009C0DA5"/>
    <w:rsid w:val="009C1276"/>
    <w:rsid w:val="009C18A3"/>
    <w:rsid w:val="009C2CC9"/>
    <w:rsid w:val="009C37E3"/>
    <w:rsid w:val="009C4C04"/>
    <w:rsid w:val="009C6D35"/>
    <w:rsid w:val="009C7740"/>
    <w:rsid w:val="009C7ABF"/>
    <w:rsid w:val="009C7D7E"/>
    <w:rsid w:val="009C7EB5"/>
    <w:rsid w:val="009D139E"/>
    <w:rsid w:val="009D2038"/>
    <w:rsid w:val="009D440C"/>
    <w:rsid w:val="009D4C03"/>
    <w:rsid w:val="009D5202"/>
    <w:rsid w:val="009D5D6A"/>
    <w:rsid w:val="009D6324"/>
    <w:rsid w:val="009D639C"/>
    <w:rsid w:val="009D73AA"/>
    <w:rsid w:val="009D7F59"/>
    <w:rsid w:val="009E1A6E"/>
    <w:rsid w:val="009E28B7"/>
    <w:rsid w:val="009E57A0"/>
    <w:rsid w:val="009E57D5"/>
    <w:rsid w:val="009E63D5"/>
    <w:rsid w:val="009F1B73"/>
    <w:rsid w:val="009F1DDC"/>
    <w:rsid w:val="009F25F7"/>
    <w:rsid w:val="009F2852"/>
    <w:rsid w:val="009F2E16"/>
    <w:rsid w:val="009F5EDA"/>
    <w:rsid w:val="009F7D02"/>
    <w:rsid w:val="009F7E16"/>
    <w:rsid w:val="00A00262"/>
    <w:rsid w:val="00A01FCA"/>
    <w:rsid w:val="00A03C5A"/>
    <w:rsid w:val="00A048D5"/>
    <w:rsid w:val="00A04DF5"/>
    <w:rsid w:val="00A05A42"/>
    <w:rsid w:val="00A05FA2"/>
    <w:rsid w:val="00A07A2D"/>
    <w:rsid w:val="00A103AB"/>
    <w:rsid w:val="00A10528"/>
    <w:rsid w:val="00A10581"/>
    <w:rsid w:val="00A111BB"/>
    <w:rsid w:val="00A132C9"/>
    <w:rsid w:val="00A14468"/>
    <w:rsid w:val="00A14625"/>
    <w:rsid w:val="00A156BB"/>
    <w:rsid w:val="00A156EC"/>
    <w:rsid w:val="00A167F7"/>
    <w:rsid w:val="00A16877"/>
    <w:rsid w:val="00A16A5A"/>
    <w:rsid w:val="00A176F4"/>
    <w:rsid w:val="00A1777F"/>
    <w:rsid w:val="00A229CD"/>
    <w:rsid w:val="00A23254"/>
    <w:rsid w:val="00A25CDA"/>
    <w:rsid w:val="00A25D6A"/>
    <w:rsid w:val="00A26574"/>
    <w:rsid w:val="00A266CA"/>
    <w:rsid w:val="00A3008D"/>
    <w:rsid w:val="00A31002"/>
    <w:rsid w:val="00A35433"/>
    <w:rsid w:val="00A36147"/>
    <w:rsid w:val="00A36B2D"/>
    <w:rsid w:val="00A3727D"/>
    <w:rsid w:val="00A37AFB"/>
    <w:rsid w:val="00A4510D"/>
    <w:rsid w:val="00A458C3"/>
    <w:rsid w:val="00A46230"/>
    <w:rsid w:val="00A473B7"/>
    <w:rsid w:val="00A51A87"/>
    <w:rsid w:val="00A52484"/>
    <w:rsid w:val="00A55409"/>
    <w:rsid w:val="00A5615F"/>
    <w:rsid w:val="00A5778D"/>
    <w:rsid w:val="00A57D47"/>
    <w:rsid w:val="00A60AAD"/>
    <w:rsid w:val="00A61156"/>
    <w:rsid w:val="00A6248F"/>
    <w:rsid w:val="00A6263D"/>
    <w:rsid w:val="00A63034"/>
    <w:rsid w:val="00A6342F"/>
    <w:rsid w:val="00A6570E"/>
    <w:rsid w:val="00A65B32"/>
    <w:rsid w:val="00A65DFD"/>
    <w:rsid w:val="00A65EFE"/>
    <w:rsid w:val="00A66053"/>
    <w:rsid w:val="00A72466"/>
    <w:rsid w:val="00A725BA"/>
    <w:rsid w:val="00A72803"/>
    <w:rsid w:val="00A7414B"/>
    <w:rsid w:val="00A7448B"/>
    <w:rsid w:val="00A7522D"/>
    <w:rsid w:val="00A7554B"/>
    <w:rsid w:val="00A75AB6"/>
    <w:rsid w:val="00A76031"/>
    <w:rsid w:val="00A7677F"/>
    <w:rsid w:val="00A76BE9"/>
    <w:rsid w:val="00A7767F"/>
    <w:rsid w:val="00A805D3"/>
    <w:rsid w:val="00A823C7"/>
    <w:rsid w:val="00A82551"/>
    <w:rsid w:val="00A82C25"/>
    <w:rsid w:val="00A83E1E"/>
    <w:rsid w:val="00A863F9"/>
    <w:rsid w:val="00A87B33"/>
    <w:rsid w:val="00A915D3"/>
    <w:rsid w:val="00A9264E"/>
    <w:rsid w:val="00A93020"/>
    <w:rsid w:val="00A93F8A"/>
    <w:rsid w:val="00A9469C"/>
    <w:rsid w:val="00A95BDD"/>
    <w:rsid w:val="00A95C96"/>
    <w:rsid w:val="00A9664D"/>
    <w:rsid w:val="00A97429"/>
    <w:rsid w:val="00A97665"/>
    <w:rsid w:val="00A97F5A"/>
    <w:rsid w:val="00AA0DB5"/>
    <w:rsid w:val="00AA1C45"/>
    <w:rsid w:val="00AA2A9C"/>
    <w:rsid w:val="00AA2E80"/>
    <w:rsid w:val="00AA646A"/>
    <w:rsid w:val="00AA747A"/>
    <w:rsid w:val="00AA75C5"/>
    <w:rsid w:val="00AA7EE6"/>
    <w:rsid w:val="00AB00E1"/>
    <w:rsid w:val="00AB0883"/>
    <w:rsid w:val="00AB14A3"/>
    <w:rsid w:val="00AB1B4E"/>
    <w:rsid w:val="00AB27C1"/>
    <w:rsid w:val="00AB2B4E"/>
    <w:rsid w:val="00AB4DE3"/>
    <w:rsid w:val="00AB6628"/>
    <w:rsid w:val="00AC10DC"/>
    <w:rsid w:val="00AC1766"/>
    <w:rsid w:val="00AC23A9"/>
    <w:rsid w:val="00AC2DD6"/>
    <w:rsid w:val="00AC3386"/>
    <w:rsid w:val="00AC4973"/>
    <w:rsid w:val="00AC4CD1"/>
    <w:rsid w:val="00AC5441"/>
    <w:rsid w:val="00AC6733"/>
    <w:rsid w:val="00AC79F4"/>
    <w:rsid w:val="00AD2FE5"/>
    <w:rsid w:val="00AD334E"/>
    <w:rsid w:val="00AD4446"/>
    <w:rsid w:val="00AD47EE"/>
    <w:rsid w:val="00AD5D5D"/>
    <w:rsid w:val="00AD6C88"/>
    <w:rsid w:val="00AD796E"/>
    <w:rsid w:val="00AE02FF"/>
    <w:rsid w:val="00AE08F9"/>
    <w:rsid w:val="00AE0927"/>
    <w:rsid w:val="00AE0DDD"/>
    <w:rsid w:val="00AE1142"/>
    <w:rsid w:val="00AE1590"/>
    <w:rsid w:val="00AE29A4"/>
    <w:rsid w:val="00AE2E18"/>
    <w:rsid w:val="00AE3B44"/>
    <w:rsid w:val="00AE49B1"/>
    <w:rsid w:val="00AE4F27"/>
    <w:rsid w:val="00AE588E"/>
    <w:rsid w:val="00AE7F2D"/>
    <w:rsid w:val="00AF025D"/>
    <w:rsid w:val="00AF0CA6"/>
    <w:rsid w:val="00AF1017"/>
    <w:rsid w:val="00AF15B8"/>
    <w:rsid w:val="00AF179F"/>
    <w:rsid w:val="00AF4195"/>
    <w:rsid w:val="00AF4BBB"/>
    <w:rsid w:val="00AF5212"/>
    <w:rsid w:val="00AF5426"/>
    <w:rsid w:val="00AF642A"/>
    <w:rsid w:val="00AF67C1"/>
    <w:rsid w:val="00AF7B7C"/>
    <w:rsid w:val="00B00894"/>
    <w:rsid w:val="00B00FB9"/>
    <w:rsid w:val="00B0178C"/>
    <w:rsid w:val="00B01EF0"/>
    <w:rsid w:val="00B02BE6"/>
    <w:rsid w:val="00B03185"/>
    <w:rsid w:val="00B034AE"/>
    <w:rsid w:val="00B0369E"/>
    <w:rsid w:val="00B03A41"/>
    <w:rsid w:val="00B0494D"/>
    <w:rsid w:val="00B06252"/>
    <w:rsid w:val="00B069FB"/>
    <w:rsid w:val="00B06CC2"/>
    <w:rsid w:val="00B07571"/>
    <w:rsid w:val="00B100B1"/>
    <w:rsid w:val="00B10814"/>
    <w:rsid w:val="00B10882"/>
    <w:rsid w:val="00B10ED7"/>
    <w:rsid w:val="00B11C4E"/>
    <w:rsid w:val="00B123A1"/>
    <w:rsid w:val="00B12651"/>
    <w:rsid w:val="00B12A60"/>
    <w:rsid w:val="00B14CA1"/>
    <w:rsid w:val="00B203FA"/>
    <w:rsid w:val="00B2099A"/>
    <w:rsid w:val="00B2143E"/>
    <w:rsid w:val="00B2158A"/>
    <w:rsid w:val="00B219F1"/>
    <w:rsid w:val="00B22139"/>
    <w:rsid w:val="00B22301"/>
    <w:rsid w:val="00B23E47"/>
    <w:rsid w:val="00B25212"/>
    <w:rsid w:val="00B25EF1"/>
    <w:rsid w:val="00B25FB1"/>
    <w:rsid w:val="00B27808"/>
    <w:rsid w:val="00B31B54"/>
    <w:rsid w:val="00B32680"/>
    <w:rsid w:val="00B33D51"/>
    <w:rsid w:val="00B34974"/>
    <w:rsid w:val="00B37AF4"/>
    <w:rsid w:val="00B37B42"/>
    <w:rsid w:val="00B41626"/>
    <w:rsid w:val="00B41E8B"/>
    <w:rsid w:val="00B427E6"/>
    <w:rsid w:val="00B42E2F"/>
    <w:rsid w:val="00B438B6"/>
    <w:rsid w:val="00B45177"/>
    <w:rsid w:val="00B45A4B"/>
    <w:rsid w:val="00B466F7"/>
    <w:rsid w:val="00B46CA2"/>
    <w:rsid w:val="00B46F69"/>
    <w:rsid w:val="00B47022"/>
    <w:rsid w:val="00B502B7"/>
    <w:rsid w:val="00B5034C"/>
    <w:rsid w:val="00B5349F"/>
    <w:rsid w:val="00B54A2D"/>
    <w:rsid w:val="00B54DBB"/>
    <w:rsid w:val="00B5544C"/>
    <w:rsid w:val="00B559EE"/>
    <w:rsid w:val="00B55B11"/>
    <w:rsid w:val="00B57413"/>
    <w:rsid w:val="00B57B98"/>
    <w:rsid w:val="00B61F0E"/>
    <w:rsid w:val="00B62182"/>
    <w:rsid w:val="00B63B13"/>
    <w:rsid w:val="00B64287"/>
    <w:rsid w:val="00B65622"/>
    <w:rsid w:val="00B66D66"/>
    <w:rsid w:val="00B67A33"/>
    <w:rsid w:val="00B70AC1"/>
    <w:rsid w:val="00B70DBF"/>
    <w:rsid w:val="00B711A0"/>
    <w:rsid w:val="00B712AE"/>
    <w:rsid w:val="00B73362"/>
    <w:rsid w:val="00B73430"/>
    <w:rsid w:val="00B7401A"/>
    <w:rsid w:val="00B7436C"/>
    <w:rsid w:val="00B74F86"/>
    <w:rsid w:val="00B76F0C"/>
    <w:rsid w:val="00B80523"/>
    <w:rsid w:val="00B8072B"/>
    <w:rsid w:val="00B80810"/>
    <w:rsid w:val="00B81D28"/>
    <w:rsid w:val="00B87BE6"/>
    <w:rsid w:val="00B91437"/>
    <w:rsid w:val="00B9156D"/>
    <w:rsid w:val="00B91FF7"/>
    <w:rsid w:val="00B921B9"/>
    <w:rsid w:val="00B928B6"/>
    <w:rsid w:val="00B93C7C"/>
    <w:rsid w:val="00B946E1"/>
    <w:rsid w:val="00B95889"/>
    <w:rsid w:val="00B96086"/>
    <w:rsid w:val="00B970DC"/>
    <w:rsid w:val="00B97AED"/>
    <w:rsid w:val="00BA0DBA"/>
    <w:rsid w:val="00BA13A8"/>
    <w:rsid w:val="00BA34B4"/>
    <w:rsid w:val="00BA4879"/>
    <w:rsid w:val="00BA4C49"/>
    <w:rsid w:val="00BA5D51"/>
    <w:rsid w:val="00BA7E8D"/>
    <w:rsid w:val="00BB0675"/>
    <w:rsid w:val="00BB1127"/>
    <w:rsid w:val="00BB129E"/>
    <w:rsid w:val="00BB160E"/>
    <w:rsid w:val="00BB16F7"/>
    <w:rsid w:val="00BB2B4A"/>
    <w:rsid w:val="00BB2EAF"/>
    <w:rsid w:val="00BB308C"/>
    <w:rsid w:val="00BB393D"/>
    <w:rsid w:val="00BB3C68"/>
    <w:rsid w:val="00BB3F2E"/>
    <w:rsid w:val="00BB3F55"/>
    <w:rsid w:val="00BB3F6B"/>
    <w:rsid w:val="00BB42E3"/>
    <w:rsid w:val="00BB5FD2"/>
    <w:rsid w:val="00BB65A5"/>
    <w:rsid w:val="00BB69C8"/>
    <w:rsid w:val="00BB6ACA"/>
    <w:rsid w:val="00BC1BE7"/>
    <w:rsid w:val="00BC2227"/>
    <w:rsid w:val="00BC2588"/>
    <w:rsid w:val="00BC2871"/>
    <w:rsid w:val="00BC379F"/>
    <w:rsid w:val="00BC3854"/>
    <w:rsid w:val="00BC38C4"/>
    <w:rsid w:val="00BC55D3"/>
    <w:rsid w:val="00BC5600"/>
    <w:rsid w:val="00BC74A9"/>
    <w:rsid w:val="00BD1289"/>
    <w:rsid w:val="00BD298B"/>
    <w:rsid w:val="00BD29DD"/>
    <w:rsid w:val="00BD6C32"/>
    <w:rsid w:val="00BD7DAC"/>
    <w:rsid w:val="00BE0383"/>
    <w:rsid w:val="00BE24A2"/>
    <w:rsid w:val="00BE2B2A"/>
    <w:rsid w:val="00BE2C19"/>
    <w:rsid w:val="00BE4D52"/>
    <w:rsid w:val="00BE5362"/>
    <w:rsid w:val="00BE64A3"/>
    <w:rsid w:val="00BE748F"/>
    <w:rsid w:val="00BF0B35"/>
    <w:rsid w:val="00BF197F"/>
    <w:rsid w:val="00BF3CB6"/>
    <w:rsid w:val="00BF3D76"/>
    <w:rsid w:val="00BF6270"/>
    <w:rsid w:val="00BF71D5"/>
    <w:rsid w:val="00BF7E0E"/>
    <w:rsid w:val="00C013D1"/>
    <w:rsid w:val="00C01730"/>
    <w:rsid w:val="00C025FA"/>
    <w:rsid w:val="00C02D05"/>
    <w:rsid w:val="00C03D79"/>
    <w:rsid w:val="00C041AE"/>
    <w:rsid w:val="00C0467D"/>
    <w:rsid w:val="00C05CBF"/>
    <w:rsid w:val="00C062F0"/>
    <w:rsid w:val="00C06340"/>
    <w:rsid w:val="00C063D1"/>
    <w:rsid w:val="00C07AAC"/>
    <w:rsid w:val="00C07C7E"/>
    <w:rsid w:val="00C07C8B"/>
    <w:rsid w:val="00C10150"/>
    <w:rsid w:val="00C11748"/>
    <w:rsid w:val="00C12C53"/>
    <w:rsid w:val="00C14627"/>
    <w:rsid w:val="00C15597"/>
    <w:rsid w:val="00C15656"/>
    <w:rsid w:val="00C15959"/>
    <w:rsid w:val="00C15D14"/>
    <w:rsid w:val="00C20078"/>
    <w:rsid w:val="00C2013B"/>
    <w:rsid w:val="00C206C0"/>
    <w:rsid w:val="00C211B4"/>
    <w:rsid w:val="00C24530"/>
    <w:rsid w:val="00C248F5"/>
    <w:rsid w:val="00C252D9"/>
    <w:rsid w:val="00C25F1F"/>
    <w:rsid w:val="00C26277"/>
    <w:rsid w:val="00C2677F"/>
    <w:rsid w:val="00C2768A"/>
    <w:rsid w:val="00C27902"/>
    <w:rsid w:val="00C326B2"/>
    <w:rsid w:val="00C32E4F"/>
    <w:rsid w:val="00C35085"/>
    <w:rsid w:val="00C365B5"/>
    <w:rsid w:val="00C371C7"/>
    <w:rsid w:val="00C3740E"/>
    <w:rsid w:val="00C376C3"/>
    <w:rsid w:val="00C40BA6"/>
    <w:rsid w:val="00C42AB5"/>
    <w:rsid w:val="00C42ABF"/>
    <w:rsid w:val="00C4465E"/>
    <w:rsid w:val="00C45860"/>
    <w:rsid w:val="00C46C6C"/>
    <w:rsid w:val="00C4702D"/>
    <w:rsid w:val="00C47AC3"/>
    <w:rsid w:val="00C47D8F"/>
    <w:rsid w:val="00C50354"/>
    <w:rsid w:val="00C50708"/>
    <w:rsid w:val="00C513A6"/>
    <w:rsid w:val="00C52F8C"/>
    <w:rsid w:val="00C53978"/>
    <w:rsid w:val="00C5438F"/>
    <w:rsid w:val="00C54742"/>
    <w:rsid w:val="00C5493A"/>
    <w:rsid w:val="00C5504A"/>
    <w:rsid w:val="00C561E9"/>
    <w:rsid w:val="00C56F2D"/>
    <w:rsid w:val="00C618A8"/>
    <w:rsid w:val="00C62732"/>
    <w:rsid w:val="00C62F8E"/>
    <w:rsid w:val="00C637C9"/>
    <w:rsid w:val="00C644AF"/>
    <w:rsid w:val="00C64552"/>
    <w:rsid w:val="00C657B1"/>
    <w:rsid w:val="00C67377"/>
    <w:rsid w:val="00C703D7"/>
    <w:rsid w:val="00C70BC3"/>
    <w:rsid w:val="00C71328"/>
    <w:rsid w:val="00C71A7F"/>
    <w:rsid w:val="00C71EAA"/>
    <w:rsid w:val="00C71EEA"/>
    <w:rsid w:val="00C7270F"/>
    <w:rsid w:val="00C72800"/>
    <w:rsid w:val="00C74617"/>
    <w:rsid w:val="00C74DFD"/>
    <w:rsid w:val="00C75523"/>
    <w:rsid w:val="00C75D2D"/>
    <w:rsid w:val="00C7644F"/>
    <w:rsid w:val="00C77839"/>
    <w:rsid w:val="00C779D5"/>
    <w:rsid w:val="00C77B10"/>
    <w:rsid w:val="00C77E21"/>
    <w:rsid w:val="00C8066D"/>
    <w:rsid w:val="00C811F4"/>
    <w:rsid w:val="00C829D1"/>
    <w:rsid w:val="00C849D7"/>
    <w:rsid w:val="00C8534B"/>
    <w:rsid w:val="00C856AE"/>
    <w:rsid w:val="00C86228"/>
    <w:rsid w:val="00C86546"/>
    <w:rsid w:val="00C87D8D"/>
    <w:rsid w:val="00C91D39"/>
    <w:rsid w:val="00C91E9F"/>
    <w:rsid w:val="00C925EA"/>
    <w:rsid w:val="00C928B2"/>
    <w:rsid w:val="00C92B77"/>
    <w:rsid w:val="00C93370"/>
    <w:rsid w:val="00C943B2"/>
    <w:rsid w:val="00C94B92"/>
    <w:rsid w:val="00CA1E0C"/>
    <w:rsid w:val="00CA41C1"/>
    <w:rsid w:val="00CA5E8F"/>
    <w:rsid w:val="00CA755A"/>
    <w:rsid w:val="00CB0D88"/>
    <w:rsid w:val="00CB10B5"/>
    <w:rsid w:val="00CB19CE"/>
    <w:rsid w:val="00CB21DF"/>
    <w:rsid w:val="00CB2F8E"/>
    <w:rsid w:val="00CB3E03"/>
    <w:rsid w:val="00CB4363"/>
    <w:rsid w:val="00CB4716"/>
    <w:rsid w:val="00CB5570"/>
    <w:rsid w:val="00CB679B"/>
    <w:rsid w:val="00CB6ED6"/>
    <w:rsid w:val="00CB7345"/>
    <w:rsid w:val="00CB7713"/>
    <w:rsid w:val="00CB78A1"/>
    <w:rsid w:val="00CC080F"/>
    <w:rsid w:val="00CC1A06"/>
    <w:rsid w:val="00CC1C83"/>
    <w:rsid w:val="00CC2A90"/>
    <w:rsid w:val="00CC2CDC"/>
    <w:rsid w:val="00CC30F2"/>
    <w:rsid w:val="00CC3468"/>
    <w:rsid w:val="00CC3856"/>
    <w:rsid w:val="00CC3E62"/>
    <w:rsid w:val="00CC4048"/>
    <w:rsid w:val="00CC49BF"/>
    <w:rsid w:val="00CC62D8"/>
    <w:rsid w:val="00CC681C"/>
    <w:rsid w:val="00CC6B36"/>
    <w:rsid w:val="00CC6D70"/>
    <w:rsid w:val="00CD326E"/>
    <w:rsid w:val="00CD4D4C"/>
    <w:rsid w:val="00CD5004"/>
    <w:rsid w:val="00CD50DE"/>
    <w:rsid w:val="00CD5979"/>
    <w:rsid w:val="00CD65C5"/>
    <w:rsid w:val="00CD6888"/>
    <w:rsid w:val="00CD69DD"/>
    <w:rsid w:val="00CD75E9"/>
    <w:rsid w:val="00CE07A0"/>
    <w:rsid w:val="00CE0B14"/>
    <w:rsid w:val="00CE0DD6"/>
    <w:rsid w:val="00CE0ED8"/>
    <w:rsid w:val="00CE1D0E"/>
    <w:rsid w:val="00CE1DB2"/>
    <w:rsid w:val="00CE2BE6"/>
    <w:rsid w:val="00CE3873"/>
    <w:rsid w:val="00CE5018"/>
    <w:rsid w:val="00CE5ABC"/>
    <w:rsid w:val="00CE7FA0"/>
    <w:rsid w:val="00CF0184"/>
    <w:rsid w:val="00CF1C45"/>
    <w:rsid w:val="00CF6206"/>
    <w:rsid w:val="00CF65B8"/>
    <w:rsid w:val="00CF7AC8"/>
    <w:rsid w:val="00D003AF"/>
    <w:rsid w:val="00D00442"/>
    <w:rsid w:val="00D018AD"/>
    <w:rsid w:val="00D02041"/>
    <w:rsid w:val="00D043A7"/>
    <w:rsid w:val="00D07001"/>
    <w:rsid w:val="00D1209C"/>
    <w:rsid w:val="00D12D43"/>
    <w:rsid w:val="00D13494"/>
    <w:rsid w:val="00D140E4"/>
    <w:rsid w:val="00D157AF"/>
    <w:rsid w:val="00D15E28"/>
    <w:rsid w:val="00D16A52"/>
    <w:rsid w:val="00D17375"/>
    <w:rsid w:val="00D20852"/>
    <w:rsid w:val="00D21349"/>
    <w:rsid w:val="00D21A1C"/>
    <w:rsid w:val="00D22991"/>
    <w:rsid w:val="00D22B8E"/>
    <w:rsid w:val="00D23068"/>
    <w:rsid w:val="00D23230"/>
    <w:rsid w:val="00D23817"/>
    <w:rsid w:val="00D23935"/>
    <w:rsid w:val="00D23B0C"/>
    <w:rsid w:val="00D23C6D"/>
    <w:rsid w:val="00D23FF1"/>
    <w:rsid w:val="00D24239"/>
    <w:rsid w:val="00D26C3E"/>
    <w:rsid w:val="00D27703"/>
    <w:rsid w:val="00D277FE"/>
    <w:rsid w:val="00D302A8"/>
    <w:rsid w:val="00D30FF3"/>
    <w:rsid w:val="00D31148"/>
    <w:rsid w:val="00D315D2"/>
    <w:rsid w:val="00D3228F"/>
    <w:rsid w:val="00D3246E"/>
    <w:rsid w:val="00D32509"/>
    <w:rsid w:val="00D347B0"/>
    <w:rsid w:val="00D3580D"/>
    <w:rsid w:val="00D3595E"/>
    <w:rsid w:val="00D370F6"/>
    <w:rsid w:val="00D40715"/>
    <w:rsid w:val="00D40CE5"/>
    <w:rsid w:val="00D44314"/>
    <w:rsid w:val="00D44677"/>
    <w:rsid w:val="00D456C8"/>
    <w:rsid w:val="00D45F59"/>
    <w:rsid w:val="00D46E88"/>
    <w:rsid w:val="00D5047A"/>
    <w:rsid w:val="00D508B5"/>
    <w:rsid w:val="00D50D88"/>
    <w:rsid w:val="00D53DE2"/>
    <w:rsid w:val="00D54BEB"/>
    <w:rsid w:val="00D56538"/>
    <w:rsid w:val="00D61937"/>
    <w:rsid w:val="00D626A5"/>
    <w:rsid w:val="00D632A6"/>
    <w:rsid w:val="00D6419C"/>
    <w:rsid w:val="00D66433"/>
    <w:rsid w:val="00D66DC8"/>
    <w:rsid w:val="00D70062"/>
    <w:rsid w:val="00D716E6"/>
    <w:rsid w:val="00D71EFF"/>
    <w:rsid w:val="00D73132"/>
    <w:rsid w:val="00D7394F"/>
    <w:rsid w:val="00D757FE"/>
    <w:rsid w:val="00D75A58"/>
    <w:rsid w:val="00D75AC1"/>
    <w:rsid w:val="00D76803"/>
    <w:rsid w:val="00D772AA"/>
    <w:rsid w:val="00D7751E"/>
    <w:rsid w:val="00D778D9"/>
    <w:rsid w:val="00D81124"/>
    <w:rsid w:val="00D815CB"/>
    <w:rsid w:val="00D825BA"/>
    <w:rsid w:val="00D83417"/>
    <w:rsid w:val="00D83B13"/>
    <w:rsid w:val="00D84484"/>
    <w:rsid w:val="00D86D50"/>
    <w:rsid w:val="00D86F34"/>
    <w:rsid w:val="00D90562"/>
    <w:rsid w:val="00D91887"/>
    <w:rsid w:val="00D933E2"/>
    <w:rsid w:val="00D9403C"/>
    <w:rsid w:val="00D94AC1"/>
    <w:rsid w:val="00D94B01"/>
    <w:rsid w:val="00D95A8D"/>
    <w:rsid w:val="00D97694"/>
    <w:rsid w:val="00DA0484"/>
    <w:rsid w:val="00DA0E5E"/>
    <w:rsid w:val="00DA12A4"/>
    <w:rsid w:val="00DA16C0"/>
    <w:rsid w:val="00DA2B0B"/>
    <w:rsid w:val="00DA3611"/>
    <w:rsid w:val="00DA3ED0"/>
    <w:rsid w:val="00DA3F1D"/>
    <w:rsid w:val="00DA451B"/>
    <w:rsid w:val="00DA48BC"/>
    <w:rsid w:val="00DA49F4"/>
    <w:rsid w:val="00DA4CB4"/>
    <w:rsid w:val="00DA6736"/>
    <w:rsid w:val="00DA7043"/>
    <w:rsid w:val="00DA7A04"/>
    <w:rsid w:val="00DB11C5"/>
    <w:rsid w:val="00DB18AC"/>
    <w:rsid w:val="00DB28C7"/>
    <w:rsid w:val="00DB3F94"/>
    <w:rsid w:val="00DB487B"/>
    <w:rsid w:val="00DB4C5D"/>
    <w:rsid w:val="00DB6039"/>
    <w:rsid w:val="00DC025B"/>
    <w:rsid w:val="00DC05BA"/>
    <w:rsid w:val="00DC0E1F"/>
    <w:rsid w:val="00DC34F2"/>
    <w:rsid w:val="00DC3911"/>
    <w:rsid w:val="00DC3CEB"/>
    <w:rsid w:val="00DC473F"/>
    <w:rsid w:val="00DC5E0F"/>
    <w:rsid w:val="00DC5F0F"/>
    <w:rsid w:val="00DC5F92"/>
    <w:rsid w:val="00DC7276"/>
    <w:rsid w:val="00DC72EC"/>
    <w:rsid w:val="00DD004A"/>
    <w:rsid w:val="00DD0311"/>
    <w:rsid w:val="00DD1624"/>
    <w:rsid w:val="00DD3BEF"/>
    <w:rsid w:val="00DD460A"/>
    <w:rsid w:val="00DD4CA1"/>
    <w:rsid w:val="00DD63E7"/>
    <w:rsid w:val="00DD6796"/>
    <w:rsid w:val="00DD7DF7"/>
    <w:rsid w:val="00DE088F"/>
    <w:rsid w:val="00DE11AD"/>
    <w:rsid w:val="00DE1E2D"/>
    <w:rsid w:val="00DE3F0F"/>
    <w:rsid w:val="00DE426F"/>
    <w:rsid w:val="00DE45C0"/>
    <w:rsid w:val="00DE4DED"/>
    <w:rsid w:val="00DE50E6"/>
    <w:rsid w:val="00DE62BF"/>
    <w:rsid w:val="00DE6337"/>
    <w:rsid w:val="00DF052F"/>
    <w:rsid w:val="00DF0F1C"/>
    <w:rsid w:val="00DF124C"/>
    <w:rsid w:val="00DF2B5B"/>
    <w:rsid w:val="00DF4086"/>
    <w:rsid w:val="00DF437A"/>
    <w:rsid w:val="00DF4D36"/>
    <w:rsid w:val="00DF54D2"/>
    <w:rsid w:val="00DF5C13"/>
    <w:rsid w:val="00DF6A50"/>
    <w:rsid w:val="00DF7DFB"/>
    <w:rsid w:val="00E008F6"/>
    <w:rsid w:val="00E01357"/>
    <w:rsid w:val="00E02265"/>
    <w:rsid w:val="00E026A3"/>
    <w:rsid w:val="00E02A93"/>
    <w:rsid w:val="00E033B4"/>
    <w:rsid w:val="00E03402"/>
    <w:rsid w:val="00E0445D"/>
    <w:rsid w:val="00E05D1D"/>
    <w:rsid w:val="00E0609B"/>
    <w:rsid w:val="00E06349"/>
    <w:rsid w:val="00E104F0"/>
    <w:rsid w:val="00E106E0"/>
    <w:rsid w:val="00E10AF3"/>
    <w:rsid w:val="00E1125E"/>
    <w:rsid w:val="00E11310"/>
    <w:rsid w:val="00E1177D"/>
    <w:rsid w:val="00E11C5A"/>
    <w:rsid w:val="00E1387F"/>
    <w:rsid w:val="00E1391B"/>
    <w:rsid w:val="00E13B69"/>
    <w:rsid w:val="00E13C5D"/>
    <w:rsid w:val="00E1545C"/>
    <w:rsid w:val="00E15611"/>
    <w:rsid w:val="00E156C4"/>
    <w:rsid w:val="00E15E84"/>
    <w:rsid w:val="00E16E19"/>
    <w:rsid w:val="00E178BF"/>
    <w:rsid w:val="00E20337"/>
    <w:rsid w:val="00E213E1"/>
    <w:rsid w:val="00E22088"/>
    <w:rsid w:val="00E22904"/>
    <w:rsid w:val="00E22D04"/>
    <w:rsid w:val="00E23A7A"/>
    <w:rsid w:val="00E23BAB"/>
    <w:rsid w:val="00E24500"/>
    <w:rsid w:val="00E2490D"/>
    <w:rsid w:val="00E255BC"/>
    <w:rsid w:val="00E257D0"/>
    <w:rsid w:val="00E2691E"/>
    <w:rsid w:val="00E278D2"/>
    <w:rsid w:val="00E27B3A"/>
    <w:rsid w:val="00E3037C"/>
    <w:rsid w:val="00E30FDE"/>
    <w:rsid w:val="00E3248E"/>
    <w:rsid w:val="00E327DD"/>
    <w:rsid w:val="00E33268"/>
    <w:rsid w:val="00E3394B"/>
    <w:rsid w:val="00E349A9"/>
    <w:rsid w:val="00E34C5D"/>
    <w:rsid w:val="00E358E6"/>
    <w:rsid w:val="00E361D3"/>
    <w:rsid w:val="00E37825"/>
    <w:rsid w:val="00E41A30"/>
    <w:rsid w:val="00E44979"/>
    <w:rsid w:val="00E44C9F"/>
    <w:rsid w:val="00E45F62"/>
    <w:rsid w:val="00E4627B"/>
    <w:rsid w:val="00E464C2"/>
    <w:rsid w:val="00E4722C"/>
    <w:rsid w:val="00E47911"/>
    <w:rsid w:val="00E50589"/>
    <w:rsid w:val="00E51C78"/>
    <w:rsid w:val="00E5374B"/>
    <w:rsid w:val="00E54063"/>
    <w:rsid w:val="00E54338"/>
    <w:rsid w:val="00E5455B"/>
    <w:rsid w:val="00E5508A"/>
    <w:rsid w:val="00E553C5"/>
    <w:rsid w:val="00E567DA"/>
    <w:rsid w:val="00E56DD5"/>
    <w:rsid w:val="00E57EAF"/>
    <w:rsid w:val="00E60117"/>
    <w:rsid w:val="00E60ECE"/>
    <w:rsid w:val="00E61E16"/>
    <w:rsid w:val="00E61F41"/>
    <w:rsid w:val="00E6212F"/>
    <w:rsid w:val="00E639D6"/>
    <w:rsid w:val="00E63ED9"/>
    <w:rsid w:val="00E64F2E"/>
    <w:rsid w:val="00E652F8"/>
    <w:rsid w:val="00E65499"/>
    <w:rsid w:val="00E654E6"/>
    <w:rsid w:val="00E65BC4"/>
    <w:rsid w:val="00E66E48"/>
    <w:rsid w:val="00E739CF"/>
    <w:rsid w:val="00E74E36"/>
    <w:rsid w:val="00E77D52"/>
    <w:rsid w:val="00E80029"/>
    <w:rsid w:val="00E8119D"/>
    <w:rsid w:val="00E81C5F"/>
    <w:rsid w:val="00E81E21"/>
    <w:rsid w:val="00E84743"/>
    <w:rsid w:val="00E84B5D"/>
    <w:rsid w:val="00E85752"/>
    <w:rsid w:val="00E85E69"/>
    <w:rsid w:val="00E87623"/>
    <w:rsid w:val="00E90618"/>
    <w:rsid w:val="00E919D6"/>
    <w:rsid w:val="00E923F6"/>
    <w:rsid w:val="00E93091"/>
    <w:rsid w:val="00E930EC"/>
    <w:rsid w:val="00E9754D"/>
    <w:rsid w:val="00E97C50"/>
    <w:rsid w:val="00EA04D9"/>
    <w:rsid w:val="00EA19A9"/>
    <w:rsid w:val="00EA22DE"/>
    <w:rsid w:val="00EA509B"/>
    <w:rsid w:val="00EA55F6"/>
    <w:rsid w:val="00EA581A"/>
    <w:rsid w:val="00EA5BBA"/>
    <w:rsid w:val="00EA6980"/>
    <w:rsid w:val="00EB05B0"/>
    <w:rsid w:val="00EB12C3"/>
    <w:rsid w:val="00EB12EC"/>
    <w:rsid w:val="00EB3250"/>
    <w:rsid w:val="00EB4796"/>
    <w:rsid w:val="00EB4D29"/>
    <w:rsid w:val="00EB6263"/>
    <w:rsid w:val="00EB648B"/>
    <w:rsid w:val="00EB64C2"/>
    <w:rsid w:val="00EB6DD9"/>
    <w:rsid w:val="00EB7D3A"/>
    <w:rsid w:val="00EB7FCF"/>
    <w:rsid w:val="00EC057E"/>
    <w:rsid w:val="00EC0700"/>
    <w:rsid w:val="00EC1150"/>
    <w:rsid w:val="00EC1971"/>
    <w:rsid w:val="00EC1FDA"/>
    <w:rsid w:val="00EC4075"/>
    <w:rsid w:val="00EC4A4C"/>
    <w:rsid w:val="00ED0C8F"/>
    <w:rsid w:val="00ED15ED"/>
    <w:rsid w:val="00ED1DD2"/>
    <w:rsid w:val="00ED2FBB"/>
    <w:rsid w:val="00ED36B7"/>
    <w:rsid w:val="00ED4210"/>
    <w:rsid w:val="00ED4F86"/>
    <w:rsid w:val="00ED53D7"/>
    <w:rsid w:val="00ED66A6"/>
    <w:rsid w:val="00ED6981"/>
    <w:rsid w:val="00ED7149"/>
    <w:rsid w:val="00ED75FA"/>
    <w:rsid w:val="00ED773C"/>
    <w:rsid w:val="00ED78E9"/>
    <w:rsid w:val="00EE08D6"/>
    <w:rsid w:val="00EE0C49"/>
    <w:rsid w:val="00EE282D"/>
    <w:rsid w:val="00EE30A1"/>
    <w:rsid w:val="00EE4442"/>
    <w:rsid w:val="00EE514E"/>
    <w:rsid w:val="00EE62B0"/>
    <w:rsid w:val="00EF1A40"/>
    <w:rsid w:val="00EF2B09"/>
    <w:rsid w:val="00EF3113"/>
    <w:rsid w:val="00EF3842"/>
    <w:rsid w:val="00EF4BD3"/>
    <w:rsid w:val="00EF5095"/>
    <w:rsid w:val="00EF51BA"/>
    <w:rsid w:val="00EF60E2"/>
    <w:rsid w:val="00EF763F"/>
    <w:rsid w:val="00F00178"/>
    <w:rsid w:val="00F0084C"/>
    <w:rsid w:val="00F01CEC"/>
    <w:rsid w:val="00F0412A"/>
    <w:rsid w:val="00F04A05"/>
    <w:rsid w:val="00F05C7C"/>
    <w:rsid w:val="00F05DBF"/>
    <w:rsid w:val="00F061A0"/>
    <w:rsid w:val="00F07026"/>
    <w:rsid w:val="00F07D46"/>
    <w:rsid w:val="00F1080F"/>
    <w:rsid w:val="00F11990"/>
    <w:rsid w:val="00F128D9"/>
    <w:rsid w:val="00F12A42"/>
    <w:rsid w:val="00F1425A"/>
    <w:rsid w:val="00F150FF"/>
    <w:rsid w:val="00F159BB"/>
    <w:rsid w:val="00F15E5F"/>
    <w:rsid w:val="00F16406"/>
    <w:rsid w:val="00F16426"/>
    <w:rsid w:val="00F207ED"/>
    <w:rsid w:val="00F21676"/>
    <w:rsid w:val="00F2319A"/>
    <w:rsid w:val="00F2392E"/>
    <w:rsid w:val="00F2555E"/>
    <w:rsid w:val="00F257C0"/>
    <w:rsid w:val="00F26F30"/>
    <w:rsid w:val="00F27161"/>
    <w:rsid w:val="00F30C89"/>
    <w:rsid w:val="00F311C4"/>
    <w:rsid w:val="00F318A1"/>
    <w:rsid w:val="00F31F9C"/>
    <w:rsid w:val="00F32EE7"/>
    <w:rsid w:val="00F33EC5"/>
    <w:rsid w:val="00F353C4"/>
    <w:rsid w:val="00F36424"/>
    <w:rsid w:val="00F3686F"/>
    <w:rsid w:val="00F36E76"/>
    <w:rsid w:val="00F37F20"/>
    <w:rsid w:val="00F41F43"/>
    <w:rsid w:val="00F429B2"/>
    <w:rsid w:val="00F437BD"/>
    <w:rsid w:val="00F46439"/>
    <w:rsid w:val="00F4697F"/>
    <w:rsid w:val="00F46B95"/>
    <w:rsid w:val="00F46E3A"/>
    <w:rsid w:val="00F50DB0"/>
    <w:rsid w:val="00F518F5"/>
    <w:rsid w:val="00F5273C"/>
    <w:rsid w:val="00F52EBF"/>
    <w:rsid w:val="00F534CD"/>
    <w:rsid w:val="00F534D7"/>
    <w:rsid w:val="00F552D3"/>
    <w:rsid w:val="00F56611"/>
    <w:rsid w:val="00F56623"/>
    <w:rsid w:val="00F5689D"/>
    <w:rsid w:val="00F57A25"/>
    <w:rsid w:val="00F61F67"/>
    <w:rsid w:val="00F63F57"/>
    <w:rsid w:val="00F647CC"/>
    <w:rsid w:val="00F64C25"/>
    <w:rsid w:val="00F65F72"/>
    <w:rsid w:val="00F66915"/>
    <w:rsid w:val="00F706B8"/>
    <w:rsid w:val="00F70C96"/>
    <w:rsid w:val="00F714DF"/>
    <w:rsid w:val="00F72561"/>
    <w:rsid w:val="00F72669"/>
    <w:rsid w:val="00F74CFD"/>
    <w:rsid w:val="00F74DE8"/>
    <w:rsid w:val="00F75884"/>
    <w:rsid w:val="00F75E4F"/>
    <w:rsid w:val="00F75E88"/>
    <w:rsid w:val="00F76B6C"/>
    <w:rsid w:val="00F809E5"/>
    <w:rsid w:val="00F80C7C"/>
    <w:rsid w:val="00F80F1D"/>
    <w:rsid w:val="00F8392A"/>
    <w:rsid w:val="00F83DF4"/>
    <w:rsid w:val="00F84038"/>
    <w:rsid w:val="00F840FA"/>
    <w:rsid w:val="00F8550D"/>
    <w:rsid w:val="00F856B5"/>
    <w:rsid w:val="00F90CBD"/>
    <w:rsid w:val="00F912D3"/>
    <w:rsid w:val="00F91892"/>
    <w:rsid w:val="00F92FF0"/>
    <w:rsid w:val="00F93D9C"/>
    <w:rsid w:val="00F95411"/>
    <w:rsid w:val="00F95C4C"/>
    <w:rsid w:val="00F95F31"/>
    <w:rsid w:val="00F963C8"/>
    <w:rsid w:val="00F9671D"/>
    <w:rsid w:val="00F96F24"/>
    <w:rsid w:val="00F97962"/>
    <w:rsid w:val="00FA0C99"/>
    <w:rsid w:val="00FA1B9D"/>
    <w:rsid w:val="00FA33BE"/>
    <w:rsid w:val="00FA594D"/>
    <w:rsid w:val="00FA62F8"/>
    <w:rsid w:val="00FA6D19"/>
    <w:rsid w:val="00FB0083"/>
    <w:rsid w:val="00FB07B8"/>
    <w:rsid w:val="00FB2854"/>
    <w:rsid w:val="00FB5661"/>
    <w:rsid w:val="00FB5734"/>
    <w:rsid w:val="00FB70F1"/>
    <w:rsid w:val="00FB7A31"/>
    <w:rsid w:val="00FB7C94"/>
    <w:rsid w:val="00FC1A20"/>
    <w:rsid w:val="00FC2366"/>
    <w:rsid w:val="00FC339D"/>
    <w:rsid w:val="00FC55B9"/>
    <w:rsid w:val="00FC5A95"/>
    <w:rsid w:val="00FC6CC8"/>
    <w:rsid w:val="00FD0359"/>
    <w:rsid w:val="00FD0C45"/>
    <w:rsid w:val="00FD17CA"/>
    <w:rsid w:val="00FD18D9"/>
    <w:rsid w:val="00FD23C1"/>
    <w:rsid w:val="00FD2516"/>
    <w:rsid w:val="00FD3B70"/>
    <w:rsid w:val="00FD66E0"/>
    <w:rsid w:val="00FD74D3"/>
    <w:rsid w:val="00FD79F9"/>
    <w:rsid w:val="00FE02FC"/>
    <w:rsid w:val="00FE0FEF"/>
    <w:rsid w:val="00FE377C"/>
    <w:rsid w:val="00FE3991"/>
    <w:rsid w:val="00FE48E9"/>
    <w:rsid w:val="00FE48EB"/>
    <w:rsid w:val="00FE5D9C"/>
    <w:rsid w:val="00FE772B"/>
    <w:rsid w:val="00FF19ED"/>
    <w:rsid w:val="00FF224A"/>
    <w:rsid w:val="00FF2848"/>
    <w:rsid w:val="00FF3423"/>
    <w:rsid w:val="00FF5623"/>
    <w:rsid w:val="00FF6B55"/>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F85C05F-7CAB-4FDC-A26C-1CC3157E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B2D"/>
  </w:style>
  <w:style w:type="paragraph" w:styleId="Heading1">
    <w:name w:val="heading 1"/>
    <w:basedOn w:val="Normal"/>
    <w:next w:val="Normal"/>
    <w:qFormat/>
    <w:rsid w:val="00A36B2D"/>
    <w:pPr>
      <w:keepNext/>
      <w:outlineLvl w:val="0"/>
    </w:pPr>
    <w:rPr>
      <w:sz w:val="28"/>
      <w:szCs w:val="28"/>
    </w:rPr>
  </w:style>
  <w:style w:type="paragraph" w:styleId="Heading2">
    <w:name w:val="heading 2"/>
    <w:basedOn w:val="Normal"/>
    <w:next w:val="Normal"/>
    <w:qFormat/>
    <w:rsid w:val="00A36B2D"/>
    <w:pPr>
      <w:keepNext/>
      <w:outlineLvl w:val="1"/>
    </w:pPr>
    <w:rPr>
      <w:b/>
      <w:bCs/>
      <w:sz w:val="24"/>
      <w:szCs w:val="24"/>
    </w:rPr>
  </w:style>
  <w:style w:type="paragraph" w:styleId="Heading3">
    <w:name w:val="heading 3"/>
    <w:basedOn w:val="Normal"/>
    <w:next w:val="Normal"/>
    <w:qFormat/>
    <w:rsid w:val="00A36B2D"/>
    <w:pPr>
      <w:keepNext/>
      <w:ind w:left="360"/>
      <w:outlineLvl w:val="2"/>
    </w:pPr>
    <w:rPr>
      <w:sz w:val="24"/>
      <w:szCs w:val="24"/>
    </w:rPr>
  </w:style>
  <w:style w:type="paragraph" w:styleId="Heading4">
    <w:name w:val="heading 4"/>
    <w:basedOn w:val="Normal"/>
    <w:next w:val="Normal"/>
    <w:qFormat/>
    <w:rsid w:val="00A36B2D"/>
    <w:pPr>
      <w:keepNext/>
      <w:outlineLvl w:val="3"/>
    </w:pPr>
    <w:rPr>
      <w:sz w:val="24"/>
      <w:szCs w:val="24"/>
    </w:rPr>
  </w:style>
  <w:style w:type="paragraph" w:styleId="Heading5">
    <w:name w:val="heading 5"/>
    <w:basedOn w:val="Normal"/>
    <w:next w:val="Normal"/>
    <w:qFormat/>
    <w:rsid w:val="00A36B2D"/>
    <w:pPr>
      <w:keepNext/>
      <w:ind w:left="360" w:firstLine="360"/>
      <w:outlineLvl w:val="4"/>
    </w:pPr>
    <w:rPr>
      <w:sz w:val="24"/>
      <w:szCs w:val="24"/>
    </w:rPr>
  </w:style>
  <w:style w:type="paragraph" w:styleId="Heading6">
    <w:name w:val="heading 6"/>
    <w:basedOn w:val="Normal"/>
    <w:next w:val="Normal"/>
    <w:qFormat/>
    <w:rsid w:val="00A36B2D"/>
    <w:pPr>
      <w:keepNext/>
      <w:ind w:left="270" w:hanging="270"/>
      <w:outlineLvl w:val="5"/>
    </w:pPr>
    <w:rPr>
      <w:sz w:val="24"/>
      <w:szCs w:val="24"/>
    </w:rPr>
  </w:style>
  <w:style w:type="paragraph" w:styleId="Heading7">
    <w:name w:val="heading 7"/>
    <w:basedOn w:val="Normal"/>
    <w:next w:val="Normal"/>
    <w:qFormat/>
    <w:rsid w:val="00A36B2D"/>
    <w:pPr>
      <w:keepNext/>
      <w:ind w:left="270"/>
      <w:outlineLvl w:val="6"/>
    </w:pPr>
    <w:rPr>
      <w:sz w:val="24"/>
      <w:szCs w:val="24"/>
    </w:rPr>
  </w:style>
  <w:style w:type="paragraph" w:styleId="Heading8">
    <w:name w:val="heading 8"/>
    <w:basedOn w:val="Normal"/>
    <w:next w:val="Normal"/>
    <w:qFormat/>
    <w:rsid w:val="00A36B2D"/>
    <w:pPr>
      <w:keepNext/>
      <w:ind w:left="720" w:hanging="360"/>
      <w:outlineLvl w:val="7"/>
    </w:pPr>
    <w:rPr>
      <w:sz w:val="24"/>
      <w:szCs w:val="24"/>
    </w:rPr>
  </w:style>
  <w:style w:type="paragraph" w:styleId="Heading9">
    <w:name w:val="heading 9"/>
    <w:basedOn w:val="Normal"/>
    <w:next w:val="Normal"/>
    <w:qFormat/>
    <w:rsid w:val="00A36B2D"/>
    <w:pPr>
      <w:keepNext/>
      <w:ind w:left="9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36B2D"/>
    <w:pPr>
      <w:ind w:left="1080" w:hanging="360"/>
    </w:pPr>
    <w:rPr>
      <w:sz w:val="24"/>
      <w:szCs w:val="24"/>
    </w:rPr>
  </w:style>
  <w:style w:type="paragraph" w:styleId="BodyTextIndent2">
    <w:name w:val="Body Text Indent 2"/>
    <w:basedOn w:val="Normal"/>
    <w:rsid w:val="00A36B2D"/>
    <w:pPr>
      <w:ind w:left="180" w:firstLine="540"/>
    </w:pPr>
    <w:rPr>
      <w:sz w:val="24"/>
      <w:szCs w:val="24"/>
    </w:rPr>
  </w:style>
  <w:style w:type="paragraph" w:styleId="BodyTextIndent3">
    <w:name w:val="Body Text Indent 3"/>
    <w:basedOn w:val="Normal"/>
    <w:rsid w:val="00A36B2D"/>
    <w:pPr>
      <w:ind w:left="360" w:firstLine="360"/>
    </w:pPr>
    <w:rPr>
      <w:sz w:val="24"/>
      <w:szCs w:val="24"/>
    </w:rPr>
  </w:style>
  <w:style w:type="paragraph" w:styleId="BodyText">
    <w:name w:val="Body Text"/>
    <w:basedOn w:val="Normal"/>
    <w:rsid w:val="00A36B2D"/>
    <w:pPr>
      <w:jc w:val="both"/>
    </w:pPr>
    <w:rPr>
      <w:sz w:val="24"/>
      <w:szCs w:val="24"/>
    </w:rPr>
  </w:style>
  <w:style w:type="paragraph" w:styleId="BodyText2">
    <w:name w:val="Body Text 2"/>
    <w:basedOn w:val="Normal"/>
    <w:rsid w:val="00A36B2D"/>
    <w:rPr>
      <w:sz w:val="24"/>
      <w:szCs w:val="24"/>
    </w:rPr>
  </w:style>
  <w:style w:type="paragraph" w:styleId="BodyText3">
    <w:name w:val="Body Text 3"/>
    <w:basedOn w:val="Normal"/>
    <w:rsid w:val="00A36B2D"/>
    <w:pPr>
      <w:jc w:val="both"/>
    </w:pPr>
    <w:rPr>
      <w:i/>
      <w:iCs/>
      <w:sz w:val="24"/>
      <w:szCs w:val="24"/>
    </w:rPr>
  </w:style>
  <w:style w:type="paragraph" w:styleId="Header">
    <w:name w:val="header"/>
    <w:basedOn w:val="Normal"/>
    <w:rsid w:val="00A36B2D"/>
    <w:pPr>
      <w:tabs>
        <w:tab w:val="center" w:pos="4320"/>
        <w:tab w:val="right" w:pos="8640"/>
      </w:tabs>
    </w:pPr>
  </w:style>
  <w:style w:type="paragraph" w:styleId="BlockText">
    <w:name w:val="Block Text"/>
    <w:basedOn w:val="Normal"/>
    <w:rsid w:val="00A36B2D"/>
    <w:pPr>
      <w:ind w:left="1290" w:right="720"/>
      <w:jc w:val="both"/>
    </w:pPr>
    <w:rPr>
      <w:sz w:val="24"/>
      <w:szCs w:val="24"/>
    </w:rPr>
  </w:style>
  <w:style w:type="paragraph" w:styleId="Footer">
    <w:name w:val="footer"/>
    <w:basedOn w:val="Normal"/>
    <w:link w:val="FooterChar"/>
    <w:uiPriority w:val="99"/>
    <w:rsid w:val="00A36B2D"/>
    <w:pPr>
      <w:tabs>
        <w:tab w:val="center" w:pos="4320"/>
        <w:tab w:val="right" w:pos="8640"/>
      </w:tabs>
    </w:pPr>
  </w:style>
  <w:style w:type="character" w:styleId="PageNumber">
    <w:name w:val="page number"/>
    <w:basedOn w:val="DefaultParagraphFont"/>
    <w:rsid w:val="00A36B2D"/>
  </w:style>
  <w:style w:type="paragraph" w:styleId="Caption">
    <w:name w:val="caption"/>
    <w:basedOn w:val="Normal"/>
    <w:next w:val="Normal"/>
    <w:qFormat/>
    <w:rsid w:val="00A36B2D"/>
    <w:pPr>
      <w:jc w:val="both"/>
    </w:pPr>
    <w:rPr>
      <w:rFonts w:ascii="Arial" w:hAnsi="Arial"/>
      <w:b/>
      <w:bCs/>
      <w:sz w:val="22"/>
    </w:rPr>
  </w:style>
  <w:style w:type="table" w:styleId="TableGrid">
    <w:name w:val="Table Grid"/>
    <w:basedOn w:val="TableNormal"/>
    <w:rsid w:val="0087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9156D"/>
    <w:rPr>
      <w:rFonts w:ascii="Tahoma" w:hAnsi="Tahoma"/>
      <w:sz w:val="16"/>
      <w:szCs w:val="16"/>
    </w:rPr>
  </w:style>
  <w:style w:type="character" w:customStyle="1" w:styleId="BalloonTextChar">
    <w:name w:val="Balloon Text Char"/>
    <w:link w:val="BalloonText"/>
    <w:rsid w:val="00B9156D"/>
    <w:rPr>
      <w:rFonts w:ascii="Tahoma" w:hAnsi="Tahoma" w:cs="Tahoma"/>
      <w:sz w:val="16"/>
      <w:szCs w:val="16"/>
    </w:rPr>
  </w:style>
  <w:style w:type="character" w:styleId="Hyperlink">
    <w:name w:val="Hyperlink"/>
    <w:rsid w:val="003E4F4A"/>
    <w:rPr>
      <w:color w:val="0000FF"/>
      <w:u w:val="single"/>
    </w:rPr>
  </w:style>
  <w:style w:type="paragraph" w:styleId="NoSpacing">
    <w:name w:val="No Spacing"/>
    <w:link w:val="NoSpacingChar"/>
    <w:uiPriority w:val="1"/>
    <w:qFormat/>
    <w:rsid w:val="00A863F9"/>
    <w:rPr>
      <w:rFonts w:ascii="Calibri" w:eastAsia="Calibri" w:hAnsi="Calibri"/>
      <w:sz w:val="22"/>
      <w:szCs w:val="22"/>
      <w:lang w:val="en-PH"/>
    </w:rPr>
  </w:style>
  <w:style w:type="paragraph" w:styleId="ListParagraph">
    <w:name w:val="List Paragraph"/>
    <w:basedOn w:val="Normal"/>
    <w:uiPriority w:val="34"/>
    <w:qFormat/>
    <w:rsid w:val="00012360"/>
    <w:pPr>
      <w:spacing w:after="200" w:line="276" w:lineRule="auto"/>
      <w:ind w:left="720"/>
      <w:contextualSpacing/>
    </w:pPr>
    <w:rPr>
      <w:rFonts w:ascii="Calibri" w:eastAsia="Calibri" w:hAnsi="Calibri"/>
      <w:sz w:val="22"/>
      <w:szCs w:val="22"/>
      <w:lang w:val="en-PH"/>
    </w:rPr>
  </w:style>
  <w:style w:type="paragraph" w:styleId="Revision">
    <w:name w:val="Revision"/>
    <w:hidden/>
    <w:uiPriority w:val="99"/>
    <w:semiHidden/>
    <w:rsid w:val="0085265D"/>
  </w:style>
  <w:style w:type="character" w:customStyle="1" w:styleId="FooterChar">
    <w:name w:val="Footer Char"/>
    <w:link w:val="Footer"/>
    <w:uiPriority w:val="99"/>
    <w:rsid w:val="00763C4B"/>
    <w:rPr>
      <w:lang w:val="en-US" w:eastAsia="en-US"/>
    </w:rPr>
  </w:style>
  <w:style w:type="character" w:styleId="FootnoteReference">
    <w:name w:val="footnote reference"/>
    <w:uiPriority w:val="99"/>
    <w:unhideWhenUsed/>
    <w:rsid w:val="00855F9F"/>
    <w:rPr>
      <w:vertAlign w:val="superscript"/>
    </w:rPr>
  </w:style>
  <w:style w:type="character" w:customStyle="1" w:styleId="NoSpacingChar">
    <w:name w:val="No Spacing Char"/>
    <w:link w:val="NoSpacing"/>
    <w:uiPriority w:val="1"/>
    <w:rsid w:val="00386D4D"/>
    <w:rPr>
      <w:rFonts w:ascii="Calibri" w:eastAsia="Calibri" w:hAnsi="Calibri"/>
      <w:sz w:val="22"/>
      <w:szCs w:val="22"/>
      <w:lang w:val="en-PH"/>
    </w:rPr>
  </w:style>
  <w:style w:type="character" w:styleId="CommentReference">
    <w:name w:val="annotation reference"/>
    <w:basedOn w:val="DefaultParagraphFont"/>
    <w:rsid w:val="00161613"/>
    <w:rPr>
      <w:sz w:val="16"/>
      <w:szCs w:val="16"/>
    </w:rPr>
  </w:style>
  <w:style w:type="paragraph" w:styleId="CommentText">
    <w:name w:val="annotation text"/>
    <w:basedOn w:val="Normal"/>
    <w:link w:val="CommentTextChar"/>
    <w:rsid w:val="00161613"/>
  </w:style>
  <w:style w:type="character" w:customStyle="1" w:styleId="CommentTextChar">
    <w:name w:val="Comment Text Char"/>
    <w:basedOn w:val="DefaultParagraphFont"/>
    <w:link w:val="CommentText"/>
    <w:rsid w:val="00161613"/>
  </w:style>
  <w:style w:type="paragraph" w:styleId="CommentSubject">
    <w:name w:val="annotation subject"/>
    <w:basedOn w:val="CommentText"/>
    <w:next w:val="CommentText"/>
    <w:link w:val="CommentSubjectChar"/>
    <w:rsid w:val="00161613"/>
    <w:rPr>
      <w:b/>
      <w:bCs/>
    </w:rPr>
  </w:style>
  <w:style w:type="character" w:customStyle="1" w:styleId="CommentSubjectChar">
    <w:name w:val="Comment Subject Char"/>
    <w:basedOn w:val="CommentTextChar"/>
    <w:link w:val="CommentSubject"/>
    <w:rsid w:val="00161613"/>
    <w:rPr>
      <w:b/>
      <w:bCs/>
    </w:rPr>
  </w:style>
  <w:style w:type="paragraph" w:customStyle="1" w:styleId="Default">
    <w:name w:val="Default"/>
    <w:uiPriority w:val="99"/>
    <w:rsid w:val="00093940"/>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3594">
      <w:bodyDiv w:val="1"/>
      <w:marLeft w:val="0"/>
      <w:marRight w:val="0"/>
      <w:marTop w:val="0"/>
      <w:marBottom w:val="0"/>
      <w:divBdr>
        <w:top w:val="none" w:sz="0" w:space="0" w:color="auto"/>
        <w:left w:val="none" w:sz="0" w:space="0" w:color="auto"/>
        <w:bottom w:val="none" w:sz="0" w:space="0" w:color="auto"/>
        <w:right w:val="none" w:sz="0" w:space="0" w:color="auto"/>
      </w:divBdr>
    </w:div>
    <w:div w:id="311447413">
      <w:bodyDiv w:val="1"/>
      <w:marLeft w:val="0"/>
      <w:marRight w:val="0"/>
      <w:marTop w:val="0"/>
      <w:marBottom w:val="0"/>
      <w:divBdr>
        <w:top w:val="none" w:sz="0" w:space="0" w:color="auto"/>
        <w:left w:val="none" w:sz="0" w:space="0" w:color="auto"/>
        <w:bottom w:val="none" w:sz="0" w:space="0" w:color="auto"/>
        <w:right w:val="none" w:sz="0" w:space="0" w:color="auto"/>
      </w:divBdr>
    </w:div>
    <w:div w:id="516382950">
      <w:bodyDiv w:val="1"/>
      <w:marLeft w:val="0"/>
      <w:marRight w:val="0"/>
      <w:marTop w:val="0"/>
      <w:marBottom w:val="0"/>
      <w:divBdr>
        <w:top w:val="none" w:sz="0" w:space="0" w:color="auto"/>
        <w:left w:val="none" w:sz="0" w:space="0" w:color="auto"/>
        <w:bottom w:val="none" w:sz="0" w:space="0" w:color="auto"/>
        <w:right w:val="none" w:sz="0" w:space="0" w:color="auto"/>
      </w:divBdr>
    </w:div>
    <w:div w:id="738672859">
      <w:bodyDiv w:val="1"/>
      <w:marLeft w:val="0"/>
      <w:marRight w:val="0"/>
      <w:marTop w:val="0"/>
      <w:marBottom w:val="0"/>
      <w:divBdr>
        <w:top w:val="none" w:sz="0" w:space="0" w:color="auto"/>
        <w:left w:val="none" w:sz="0" w:space="0" w:color="auto"/>
        <w:bottom w:val="none" w:sz="0" w:space="0" w:color="auto"/>
        <w:right w:val="none" w:sz="0" w:space="0" w:color="auto"/>
      </w:divBdr>
    </w:div>
    <w:div w:id="778110039">
      <w:bodyDiv w:val="1"/>
      <w:marLeft w:val="0"/>
      <w:marRight w:val="0"/>
      <w:marTop w:val="0"/>
      <w:marBottom w:val="0"/>
      <w:divBdr>
        <w:top w:val="none" w:sz="0" w:space="0" w:color="auto"/>
        <w:left w:val="none" w:sz="0" w:space="0" w:color="auto"/>
        <w:bottom w:val="none" w:sz="0" w:space="0" w:color="auto"/>
        <w:right w:val="none" w:sz="0" w:space="0" w:color="auto"/>
      </w:divBdr>
    </w:div>
    <w:div w:id="1180392918">
      <w:bodyDiv w:val="1"/>
      <w:marLeft w:val="0"/>
      <w:marRight w:val="0"/>
      <w:marTop w:val="0"/>
      <w:marBottom w:val="0"/>
      <w:divBdr>
        <w:top w:val="none" w:sz="0" w:space="0" w:color="auto"/>
        <w:left w:val="none" w:sz="0" w:space="0" w:color="auto"/>
        <w:bottom w:val="none" w:sz="0" w:space="0" w:color="auto"/>
        <w:right w:val="none" w:sz="0" w:space="0" w:color="auto"/>
      </w:divBdr>
    </w:div>
    <w:div w:id="1917549263">
      <w:bodyDiv w:val="1"/>
      <w:marLeft w:val="0"/>
      <w:marRight w:val="0"/>
      <w:marTop w:val="0"/>
      <w:marBottom w:val="0"/>
      <w:divBdr>
        <w:top w:val="none" w:sz="0" w:space="0" w:color="auto"/>
        <w:left w:val="none" w:sz="0" w:space="0" w:color="auto"/>
        <w:bottom w:val="none" w:sz="0" w:space="0" w:color="auto"/>
        <w:right w:val="none" w:sz="0" w:space="0" w:color="auto"/>
      </w:divBdr>
    </w:div>
    <w:div w:id="1998340325">
      <w:bodyDiv w:val="1"/>
      <w:marLeft w:val="0"/>
      <w:marRight w:val="0"/>
      <w:marTop w:val="0"/>
      <w:marBottom w:val="0"/>
      <w:divBdr>
        <w:top w:val="none" w:sz="0" w:space="0" w:color="auto"/>
        <w:left w:val="none" w:sz="0" w:space="0" w:color="auto"/>
        <w:bottom w:val="none" w:sz="0" w:space="0" w:color="auto"/>
        <w:right w:val="none" w:sz="0" w:space="0" w:color="auto"/>
      </w:divBdr>
    </w:div>
    <w:div w:id="2006085596">
      <w:bodyDiv w:val="1"/>
      <w:marLeft w:val="0"/>
      <w:marRight w:val="0"/>
      <w:marTop w:val="0"/>
      <w:marBottom w:val="0"/>
      <w:divBdr>
        <w:top w:val="none" w:sz="0" w:space="0" w:color="auto"/>
        <w:left w:val="none" w:sz="0" w:space="0" w:color="auto"/>
        <w:bottom w:val="none" w:sz="0" w:space="0" w:color="auto"/>
        <w:right w:val="none" w:sz="0" w:space="0" w:color="auto"/>
      </w:divBdr>
    </w:div>
    <w:div w:id="2077168695">
      <w:bodyDiv w:val="1"/>
      <w:marLeft w:val="0"/>
      <w:marRight w:val="0"/>
      <w:marTop w:val="0"/>
      <w:marBottom w:val="0"/>
      <w:divBdr>
        <w:top w:val="none" w:sz="0" w:space="0" w:color="auto"/>
        <w:left w:val="none" w:sz="0" w:space="0" w:color="auto"/>
        <w:bottom w:val="none" w:sz="0" w:space="0" w:color="auto"/>
        <w:right w:val="none" w:sz="0" w:space="0" w:color="auto"/>
      </w:divBdr>
    </w:div>
    <w:div w:id="20977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E3110-FB6D-476B-8160-28D90BA3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Executive Summary</vt:lpstr>
    </vt:vector>
  </TitlesOfParts>
  <Company/>
  <LinksUpToDate>false</LinksUpToDate>
  <CharactersWithSpaces>10823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COA - National Electrification Administration</dc:creator>
  <cp:lastModifiedBy>COA</cp:lastModifiedBy>
  <cp:revision>9</cp:revision>
  <cp:lastPrinted>2015-07-21T04:01:00Z</cp:lastPrinted>
  <dcterms:created xsi:type="dcterms:W3CDTF">2015-07-01T08:02:00Z</dcterms:created>
  <dcterms:modified xsi:type="dcterms:W3CDTF">2015-07-24T05:26:00Z</dcterms:modified>
</cp:coreProperties>
</file>